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ind w:firstLine="1044"/>
        <w:jc w:val="center"/>
        <w:rPr>
          <w:rFonts w:ascii="黑体" w:hAnsi="黑体" w:eastAsia="黑体" w:cs="黑体"/>
          <w:b/>
          <w:bCs/>
          <w:color w:val="000000"/>
          <w:kern w:val="0"/>
          <w:sz w:val="52"/>
          <w:szCs w:val="52"/>
          <w:lang w:bidi="ar"/>
        </w:rPr>
      </w:pPr>
    </w:p>
    <w:p>
      <w:pPr>
        <w:spacing w:line="800" w:lineRule="exact"/>
        <w:ind w:firstLine="0" w:firstLineChars="0"/>
        <w:jc w:val="center"/>
        <w:rPr>
          <w:rFonts w:ascii="方正隶二_GBK" w:hAnsi="方正隶二_GBK" w:eastAsia="方正隶二_GBK" w:cs="方正隶二_GBK"/>
          <w:sz w:val="64"/>
          <w:szCs w:val="64"/>
        </w:rPr>
      </w:pPr>
      <w:r>
        <w:rPr>
          <w:rFonts w:hint="eastAsia" w:ascii="方正隶二_GBK" w:hAnsi="方正隶二_GBK" w:eastAsia="方正隶二_GBK" w:cs="方正隶二_GBK"/>
          <w:sz w:val="64"/>
          <w:szCs w:val="64"/>
        </w:rPr>
        <w:t>湖南石门仙阳湖国家湿地公园</w:t>
      </w:r>
    </w:p>
    <w:p>
      <w:pPr>
        <w:spacing w:line="800" w:lineRule="exact"/>
        <w:ind w:firstLine="0" w:firstLineChars="0"/>
        <w:jc w:val="center"/>
        <w:rPr>
          <w:rFonts w:ascii="方正隶二_GBK" w:hAnsi="方正隶二_GBK" w:eastAsia="方正隶二_GBK" w:cs="方正隶二_GBK"/>
          <w:sz w:val="72"/>
          <w:szCs w:val="72"/>
        </w:rPr>
      </w:pPr>
      <w:r>
        <w:rPr>
          <w:rFonts w:hint="eastAsia" w:ascii="方正隶二_GBK" w:hAnsi="方正隶二_GBK" w:eastAsia="方正隶二_GBK" w:cs="方正隶二_GBK"/>
          <w:sz w:val="64"/>
          <w:szCs w:val="64"/>
        </w:rPr>
        <w:t>总体规划</w:t>
      </w:r>
      <w:r>
        <w:rPr>
          <w:rFonts w:hint="eastAsia" w:ascii="黑体" w:hAnsi="黑体" w:eastAsia="黑体" w:cs="黑体"/>
          <w:sz w:val="52"/>
          <w:szCs w:val="52"/>
        </w:rPr>
        <w:t>（</w:t>
      </w:r>
      <w:r>
        <w:rPr>
          <w:rFonts w:eastAsia="方正隶二_GBK" w:cs="Times New Roman"/>
          <w:sz w:val="56"/>
          <w:szCs w:val="56"/>
        </w:rPr>
        <w:t>2023~2030</w:t>
      </w:r>
      <w:r>
        <w:rPr>
          <w:rFonts w:hint="eastAsia" w:ascii="方正隶二_GBK" w:hAnsi="方正隶二_GBK" w:eastAsia="方正隶二_GBK" w:cs="方正隶二_GBK"/>
          <w:sz w:val="64"/>
          <w:szCs w:val="64"/>
        </w:rPr>
        <w:t>年</w:t>
      </w:r>
      <w:r>
        <w:rPr>
          <w:rFonts w:hint="eastAsia" w:ascii="黑体" w:hAnsi="黑体" w:eastAsia="黑体" w:cs="黑体"/>
          <w:sz w:val="52"/>
          <w:szCs w:val="52"/>
        </w:rPr>
        <w:t>）</w:t>
      </w:r>
    </w:p>
    <w:p>
      <w:pPr>
        <w:ind w:firstLine="0" w:firstLineChars="0"/>
        <w:jc w:val="center"/>
        <w:rPr>
          <w:rFonts w:ascii="黑体" w:hAnsi="黑体" w:eastAsia="黑体" w:cs="黑体"/>
          <w:sz w:val="44"/>
          <w:szCs w:val="44"/>
        </w:rPr>
      </w:pPr>
      <w:r>
        <w:rPr>
          <w:rFonts w:hint="eastAsia" w:ascii="黑体" w:hAnsi="黑体" w:eastAsia="黑体" w:cs="黑体"/>
          <w:sz w:val="44"/>
          <w:szCs w:val="44"/>
        </w:rPr>
        <w:t>（送审稿）</w:t>
      </w:r>
    </w:p>
    <w:p>
      <w:pPr>
        <w:ind w:firstLine="560"/>
      </w:pPr>
    </w:p>
    <w:p>
      <w:pPr>
        <w:ind w:firstLine="560"/>
      </w:pPr>
    </w:p>
    <w:p>
      <w:pPr>
        <w:ind w:firstLine="560"/>
      </w:pPr>
    </w:p>
    <w:p>
      <w:pPr>
        <w:ind w:firstLine="560"/>
      </w:pPr>
    </w:p>
    <w:p>
      <w:pPr>
        <w:ind w:firstLine="560"/>
      </w:pPr>
    </w:p>
    <w:p>
      <w:pPr>
        <w:ind w:firstLine="560"/>
      </w:pPr>
    </w:p>
    <w:p>
      <w:pPr>
        <w:ind w:firstLine="560"/>
      </w:pPr>
    </w:p>
    <w:p>
      <w:pPr>
        <w:ind w:firstLine="560"/>
      </w:pPr>
    </w:p>
    <w:p>
      <w:pPr>
        <w:ind w:firstLine="560"/>
      </w:pPr>
    </w:p>
    <w:p>
      <w:pPr>
        <w:ind w:firstLine="560"/>
      </w:pPr>
    </w:p>
    <w:p>
      <w:pPr>
        <w:ind w:firstLine="560"/>
      </w:pPr>
    </w:p>
    <w:p>
      <w:pPr>
        <w:ind w:firstLine="560"/>
      </w:pPr>
    </w:p>
    <w:p>
      <w:pPr>
        <w:ind w:firstLine="560"/>
      </w:pPr>
    </w:p>
    <w:p>
      <w:pPr>
        <w:ind w:firstLine="720"/>
        <w:rPr>
          <w:sz w:val="36"/>
          <w:szCs w:val="36"/>
        </w:rPr>
      </w:pPr>
    </w:p>
    <w:p>
      <w:pPr>
        <w:ind w:firstLine="0" w:firstLineChars="0"/>
        <w:jc w:val="center"/>
        <w:rPr>
          <w:rFonts w:ascii="黑体" w:hAnsi="黑体" w:eastAsia="黑体" w:cs="黑体"/>
          <w:sz w:val="36"/>
          <w:szCs w:val="36"/>
        </w:rPr>
      </w:pPr>
      <w:r>
        <w:rPr>
          <w:rFonts w:hint="eastAsia" w:ascii="黑体" w:hAnsi="黑体" w:eastAsia="黑体" w:cs="黑体"/>
          <w:sz w:val="36"/>
          <w:szCs w:val="36"/>
        </w:rPr>
        <w:t>石门县人民政府</w:t>
      </w:r>
    </w:p>
    <w:p>
      <w:pPr>
        <w:ind w:firstLine="0" w:firstLineChars="0"/>
        <w:jc w:val="center"/>
        <w:rPr>
          <w:rFonts w:ascii="黑体" w:hAnsi="黑体" w:eastAsia="黑体" w:cs="黑体"/>
          <w:sz w:val="36"/>
          <w:szCs w:val="36"/>
        </w:rPr>
      </w:pPr>
      <w:r>
        <w:rPr>
          <w:rFonts w:hint="eastAsia" w:ascii="黑体" w:hAnsi="黑体" w:eastAsia="黑体" w:cs="黑体"/>
          <w:sz w:val="36"/>
          <w:szCs w:val="36"/>
        </w:rPr>
        <w:t>二〇二</w:t>
      </w:r>
      <w:r>
        <w:rPr>
          <w:rFonts w:hint="eastAsia" w:ascii="黑体" w:hAnsi="黑体" w:eastAsia="黑体" w:cs="黑体"/>
          <w:sz w:val="36"/>
          <w:szCs w:val="36"/>
          <w:lang w:val="en-US" w:eastAsia="zh-CN"/>
        </w:rPr>
        <w:t>四</w:t>
      </w:r>
      <w:r>
        <w:rPr>
          <w:rFonts w:hint="eastAsia" w:ascii="黑体" w:hAnsi="黑体" w:eastAsia="黑体" w:cs="黑体"/>
          <w:sz w:val="36"/>
          <w:szCs w:val="36"/>
        </w:rPr>
        <w:t>年</w:t>
      </w:r>
      <w:r>
        <w:rPr>
          <w:rFonts w:hint="eastAsia" w:ascii="黑体" w:hAnsi="黑体" w:eastAsia="黑体" w:cs="黑体"/>
          <w:sz w:val="36"/>
          <w:szCs w:val="36"/>
          <w:lang w:val="en-US" w:eastAsia="zh-CN"/>
        </w:rPr>
        <w:t>三</w:t>
      </w:r>
      <w:r>
        <w:rPr>
          <w:rFonts w:hint="eastAsia" w:ascii="黑体" w:hAnsi="黑体" w:eastAsia="黑体" w:cs="黑体"/>
          <w:sz w:val="36"/>
          <w:szCs w:val="36"/>
        </w:rPr>
        <w:t>月</w:t>
      </w:r>
    </w:p>
    <w:p>
      <w:pPr>
        <w:widowControl/>
        <w:ind w:firstLine="720"/>
        <w:jc w:val="left"/>
        <w:rPr>
          <w:rFonts w:eastAsia="华文楷体" w:cs="Times New Roman"/>
          <w:sz w:val="36"/>
          <w:szCs w:val="36"/>
        </w:rPr>
      </w:pPr>
      <w:r>
        <w:rPr>
          <w:rFonts w:eastAsia="华文楷体" w:cs="Times New Roman"/>
          <w:sz w:val="36"/>
          <w:szCs w:val="36"/>
        </w:rPr>
        <w:br w:type="page"/>
      </w:r>
    </w:p>
    <w:p>
      <w:pPr>
        <w:keepNext w:val="0"/>
        <w:keepLines w:val="0"/>
        <w:pageBreakBefore w:val="0"/>
        <w:widowControl w:val="0"/>
        <w:kinsoku/>
        <w:wordWrap/>
        <w:overflowPunct/>
        <w:topLinePunct w:val="0"/>
        <w:autoSpaceDE/>
        <w:autoSpaceDN/>
        <w:bidi w:val="0"/>
        <w:adjustRightInd w:val="0"/>
        <w:snapToGrid/>
        <w:ind w:firstLine="664"/>
        <w:textAlignment w:val="baseline"/>
        <w:rPr>
          <w:rFonts w:ascii="仿宋" w:hAnsi="仿宋" w:cs="仿宋"/>
          <w:color w:val="000000"/>
          <w:sz w:val="32"/>
          <w:szCs w:val="32"/>
        </w:rPr>
      </w:pPr>
      <w:r>
        <w:rPr>
          <w:rFonts w:hint="eastAsia" w:ascii="黑体" w:hAnsi="黑体" w:eastAsia="黑体" w:cs="黑体"/>
          <w:color w:val="000000"/>
          <w:spacing w:val="6"/>
          <w:kern w:val="0"/>
          <w:sz w:val="32"/>
          <w:szCs w:val="32"/>
        </w:rPr>
        <w:t>项目名称：</w:t>
      </w:r>
      <w:r>
        <w:rPr>
          <w:rFonts w:hint="eastAsia" w:ascii="仿宋" w:hAnsi="仿宋" w:cs="仿宋"/>
          <w:bCs/>
          <w:sz w:val="32"/>
          <w:szCs w:val="32"/>
        </w:rPr>
        <w:t>湖南石门仙阳湖国家湿地公园总体规划</w:t>
      </w:r>
      <w:r>
        <w:rPr>
          <w:rFonts w:hint="eastAsia" w:ascii="仿宋" w:hAnsi="仿宋" w:cs="仿宋"/>
          <w:color w:val="000000"/>
          <w:sz w:val="32"/>
          <w:szCs w:val="32"/>
        </w:rPr>
        <w:t>（</w:t>
      </w:r>
      <w:r>
        <w:rPr>
          <w:rFonts w:cs="Times New Roman"/>
          <w:color w:val="000000"/>
          <w:sz w:val="32"/>
          <w:szCs w:val="32"/>
        </w:rPr>
        <w:t>202</w:t>
      </w:r>
      <w:r>
        <w:rPr>
          <w:rFonts w:hint="eastAsia" w:cs="Times New Roman"/>
          <w:color w:val="000000"/>
          <w:sz w:val="32"/>
          <w:szCs w:val="32"/>
        </w:rPr>
        <w:t>3</w:t>
      </w:r>
      <w:r>
        <w:rPr>
          <w:rFonts w:cs="Times New Roman"/>
          <w:color w:val="000000"/>
          <w:sz w:val="32"/>
          <w:szCs w:val="32"/>
        </w:rPr>
        <w:t>-2030年</w:t>
      </w:r>
      <w:r>
        <w:rPr>
          <w:rFonts w:hint="eastAsia" w:ascii="仿宋" w:hAnsi="仿宋" w:cs="仿宋"/>
          <w:color w:val="000000"/>
          <w:sz w:val="32"/>
          <w:szCs w:val="32"/>
        </w:rPr>
        <w:t>）</w:t>
      </w:r>
    </w:p>
    <w:p>
      <w:pPr>
        <w:keepNext w:val="0"/>
        <w:keepLines w:val="0"/>
        <w:pageBreakBefore w:val="0"/>
        <w:widowControl w:val="0"/>
        <w:kinsoku/>
        <w:wordWrap/>
        <w:overflowPunct/>
        <w:topLinePunct w:val="0"/>
        <w:autoSpaceDE/>
        <w:autoSpaceDN/>
        <w:bidi w:val="0"/>
        <w:adjustRightInd w:val="0"/>
        <w:snapToGrid/>
        <w:ind w:firstLine="664"/>
        <w:textAlignment w:val="baseline"/>
        <w:rPr>
          <w:rFonts w:ascii="仿宋" w:hAnsi="仿宋" w:cs="仿宋"/>
          <w:color w:val="000000"/>
          <w:sz w:val="32"/>
          <w:szCs w:val="32"/>
        </w:rPr>
      </w:pPr>
      <w:r>
        <w:rPr>
          <w:rFonts w:hint="eastAsia" w:ascii="黑体" w:hAnsi="黑体" w:eastAsia="黑体" w:cs="黑体"/>
          <w:color w:val="000000"/>
          <w:spacing w:val="6"/>
          <w:kern w:val="0"/>
          <w:sz w:val="32"/>
          <w:szCs w:val="32"/>
        </w:rPr>
        <w:t>编制单位：</w:t>
      </w:r>
      <w:r>
        <w:rPr>
          <w:rFonts w:hint="eastAsia" w:ascii="仿宋" w:hAnsi="仿宋" w:cs="仿宋"/>
          <w:color w:val="000000"/>
          <w:sz w:val="32"/>
          <w:szCs w:val="32"/>
        </w:rPr>
        <w:t>中南林业科技大学</w:t>
      </w:r>
    </w:p>
    <w:p>
      <w:pPr>
        <w:keepNext w:val="0"/>
        <w:keepLines w:val="0"/>
        <w:pageBreakBefore w:val="0"/>
        <w:widowControl w:val="0"/>
        <w:kinsoku/>
        <w:wordWrap/>
        <w:overflowPunct/>
        <w:topLinePunct w:val="0"/>
        <w:autoSpaceDE/>
        <w:autoSpaceDN/>
        <w:bidi w:val="0"/>
        <w:adjustRightInd w:val="0"/>
        <w:snapToGrid/>
        <w:ind w:firstLine="664"/>
        <w:textAlignment w:val="baseline"/>
        <w:rPr>
          <w:rFonts w:ascii="黑体" w:hAnsi="黑体" w:eastAsia="黑体" w:cs="黑体"/>
          <w:color w:val="000000"/>
          <w:sz w:val="32"/>
          <w:szCs w:val="32"/>
        </w:rPr>
      </w:pPr>
      <w:r>
        <w:rPr>
          <w:rFonts w:hint="eastAsia" w:ascii="黑体" w:hAnsi="黑体" w:eastAsia="黑体" w:cs="黑体"/>
          <w:color w:val="000000"/>
          <w:spacing w:val="6"/>
          <w:kern w:val="0"/>
          <w:sz w:val="32"/>
          <w:szCs w:val="32"/>
        </w:rPr>
        <w:t>林业调查规划设计证书：</w:t>
      </w:r>
      <w:r>
        <w:rPr>
          <w:rFonts w:hint="eastAsia" w:ascii="仿宋" w:hAnsi="仿宋" w:cs="仿宋"/>
          <w:color w:val="000000"/>
          <w:sz w:val="32"/>
          <w:szCs w:val="32"/>
        </w:rPr>
        <w:t>林业调查规划设计甲</w:t>
      </w:r>
      <w:r>
        <w:rPr>
          <w:rFonts w:cs="Times New Roman"/>
          <w:color w:val="000000"/>
          <w:sz w:val="32"/>
          <w:szCs w:val="32"/>
        </w:rPr>
        <w:t>B18—006</w:t>
      </w:r>
      <w:r>
        <w:rPr>
          <w:rFonts w:hint="eastAsia" w:ascii="仿宋" w:hAnsi="仿宋" w:cs="仿宋"/>
          <w:color w:val="000000"/>
          <w:sz w:val="32"/>
          <w:szCs w:val="32"/>
        </w:rPr>
        <w:t>号</w:t>
      </w:r>
    </w:p>
    <w:p>
      <w:pPr>
        <w:tabs>
          <w:tab w:val="left" w:pos="4536"/>
        </w:tabs>
        <w:adjustRightInd w:val="0"/>
        <w:snapToGrid w:val="0"/>
        <w:ind w:firstLine="0" w:firstLineChars="0"/>
        <w:textAlignment w:val="baseline"/>
        <w:rPr>
          <w:rFonts w:eastAsia="微软雅黑"/>
          <w:bCs/>
          <w:color w:val="000000"/>
          <w:sz w:val="32"/>
          <w:szCs w:val="32"/>
        </w:rPr>
      </w:pPr>
    </w:p>
    <w:p>
      <w:pPr>
        <w:tabs>
          <w:tab w:val="left" w:pos="4536"/>
        </w:tabs>
        <w:adjustRightInd w:val="0"/>
        <w:snapToGrid w:val="0"/>
        <w:ind w:firstLine="0" w:firstLineChars="0"/>
        <w:textAlignment w:val="baseline"/>
        <w:rPr>
          <w:rFonts w:eastAsia="微软雅黑"/>
          <w:bCs/>
          <w:color w:val="000000"/>
          <w:sz w:val="32"/>
          <w:szCs w:val="32"/>
        </w:rPr>
      </w:pPr>
    </w:p>
    <w:p>
      <w:pPr>
        <w:tabs>
          <w:tab w:val="left" w:pos="4536"/>
        </w:tabs>
        <w:adjustRightInd w:val="0"/>
        <w:snapToGrid w:val="0"/>
        <w:spacing w:before="197" w:beforeLines="50" w:line="480" w:lineRule="auto"/>
        <w:ind w:left="1120" w:leftChars="400" w:firstLine="640"/>
        <w:textAlignment w:val="baseline"/>
        <w:rPr>
          <w:rFonts w:ascii="仿宋" w:hAnsi="仿宋" w:cs="仿宋"/>
          <w:bCs/>
          <w:color w:val="000000"/>
          <w:sz w:val="32"/>
          <w:szCs w:val="32"/>
        </w:rPr>
      </w:pPr>
      <w:r>
        <w:rPr>
          <w:rFonts w:hint="eastAsia" w:ascii="黑体" w:hAnsi="黑体" w:eastAsia="黑体" w:cs="黑体"/>
          <w:bCs/>
          <w:color w:val="000000"/>
          <w:sz w:val="32"/>
          <w:szCs w:val="32"/>
        </w:rPr>
        <w:t>校      长：</w:t>
      </w:r>
      <w:r>
        <w:rPr>
          <w:rFonts w:hint="eastAsia" w:ascii="仿宋" w:hAnsi="仿宋" w:cs="仿宋"/>
          <w:bCs/>
          <w:color w:val="000000"/>
          <w:sz w:val="32"/>
          <w:szCs w:val="32"/>
        </w:rPr>
        <w:t>仇</w:t>
      </w:r>
      <w:r>
        <w:rPr>
          <w:rFonts w:hint="eastAsia" w:ascii="仿宋" w:hAnsi="仿宋" w:cs="仿宋"/>
          <w:bCs/>
          <w:color w:val="000000"/>
          <w:sz w:val="32"/>
          <w:szCs w:val="32"/>
          <w:lang w:val="en-US" w:eastAsia="zh-CN"/>
        </w:rPr>
        <w:t xml:space="preserve">  </w:t>
      </w:r>
      <w:r>
        <w:rPr>
          <w:rFonts w:hint="eastAsia" w:ascii="仿宋" w:hAnsi="仿宋" w:cs="仿宋"/>
          <w:bCs/>
          <w:color w:val="000000"/>
          <w:sz w:val="32"/>
          <w:szCs w:val="32"/>
        </w:rPr>
        <w:t>怡</w:t>
      </w:r>
    </w:p>
    <w:p>
      <w:pPr>
        <w:tabs>
          <w:tab w:val="left" w:pos="4536"/>
        </w:tabs>
        <w:adjustRightInd w:val="0"/>
        <w:snapToGrid w:val="0"/>
        <w:spacing w:before="197" w:beforeLines="50" w:line="480" w:lineRule="auto"/>
        <w:ind w:left="1120" w:leftChars="400" w:firstLine="640"/>
        <w:textAlignment w:val="baseline"/>
        <w:rPr>
          <w:rFonts w:ascii="仿宋" w:hAnsi="仿宋" w:cs="仿宋"/>
          <w:color w:val="000000"/>
          <w:kern w:val="0"/>
          <w:sz w:val="32"/>
          <w:szCs w:val="32"/>
          <w:lang w:bidi="ar"/>
        </w:rPr>
      </w:pPr>
      <w:r>
        <w:rPr>
          <w:rFonts w:hint="eastAsia" w:ascii="黑体" w:hAnsi="黑体" w:eastAsia="黑体" w:cs="黑体"/>
          <w:bCs/>
          <w:color w:val="000000"/>
          <w:sz w:val="32"/>
          <w:szCs w:val="32"/>
        </w:rPr>
        <w:t>副  校  长：</w:t>
      </w:r>
      <w:r>
        <w:rPr>
          <w:rFonts w:hint="eastAsia" w:ascii="仿宋" w:hAnsi="仿宋" w:cs="仿宋"/>
          <w:color w:val="000000"/>
          <w:kern w:val="0"/>
          <w:sz w:val="32"/>
          <w:szCs w:val="32"/>
          <w:lang w:bidi="ar"/>
        </w:rPr>
        <w:t>闫文德</w:t>
      </w:r>
    </w:p>
    <w:p>
      <w:pPr>
        <w:tabs>
          <w:tab w:val="left" w:pos="4536"/>
        </w:tabs>
        <w:adjustRightInd w:val="0"/>
        <w:snapToGrid w:val="0"/>
        <w:spacing w:before="197" w:beforeLines="50" w:line="480" w:lineRule="auto"/>
        <w:ind w:left="1120" w:leftChars="400" w:firstLine="640"/>
        <w:textAlignment w:val="baseline"/>
        <w:rPr>
          <w:rFonts w:hint="default" w:ascii="仿宋" w:hAnsi="仿宋" w:eastAsia="黑体" w:cs="仿宋"/>
          <w:color w:val="000000"/>
          <w:kern w:val="0"/>
          <w:sz w:val="32"/>
          <w:szCs w:val="32"/>
          <w:lang w:val="en-US" w:eastAsia="zh-CN" w:bidi="ar"/>
        </w:rPr>
      </w:pPr>
      <w:r>
        <w:rPr>
          <w:rFonts w:hint="eastAsia" w:ascii="黑体" w:hAnsi="黑体" w:eastAsia="黑体" w:cs="黑体"/>
          <w:bCs/>
          <w:color w:val="000000"/>
          <w:sz w:val="32"/>
          <w:szCs w:val="32"/>
        </w:rPr>
        <w:t>技术负责人：</w:t>
      </w:r>
      <w:r>
        <w:rPr>
          <w:rFonts w:hint="eastAsia" w:ascii="仿宋" w:hAnsi="仿宋" w:cs="仿宋"/>
          <w:bCs/>
          <w:color w:val="000000"/>
          <w:sz w:val="32"/>
          <w:szCs w:val="32"/>
          <w:lang w:val="en-US" w:eastAsia="zh-CN"/>
        </w:rPr>
        <w:t>王光军</w:t>
      </w:r>
    </w:p>
    <w:p>
      <w:pPr>
        <w:tabs>
          <w:tab w:val="left" w:pos="4536"/>
        </w:tabs>
        <w:adjustRightInd w:val="0"/>
        <w:snapToGrid w:val="0"/>
        <w:spacing w:before="197" w:beforeLines="50" w:line="480" w:lineRule="auto"/>
        <w:ind w:left="1120" w:leftChars="400" w:firstLine="640"/>
        <w:textAlignment w:val="baseline"/>
        <w:rPr>
          <w:rFonts w:ascii="仿宋" w:hAnsi="仿宋" w:cs="仿宋"/>
          <w:bCs/>
          <w:color w:val="000000"/>
          <w:sz w:val="32"/>
          <w:szCs w:val="32"/>
        </w:rPr>
      </w:pPr>
      <w:r>
        <w:rPr>
          <w:rFonts w:hint="eastAsia" w:ascii="黑体" w:hAnsi="黑体" w:eastAsia="黑体" w:cs="黑体"/>
          <w:bCs/>
          <w:color w:val="000000"/>
          <w:sz w:val="32"/>
          <w:szCs w:val="32"/>
        </w:rPr>
        <w:t>项目负责人：</w:t>
      </w:r>
      <w:r>
        <w:rPr>
          <w:rFonts w:hint="eastAsia" w:ascii="仿宋" w:hAnsi="仿宋" w:cs="仿宋"/>
          <w:bCs/>
          <w:color w:val="000000"/>
          <w:sz w:val="32"/>
          <w:szCs w:val="32"/>
        </w:rPr>
        <w:t>谢荣秀</w:t>
      </w:r>
    </w:p>
    <w:p>
      <w:pPr>
        <w:adjustRightInd w:val="0"/>
        <w:snapToGrid w:val="0"/>
        <w:ind w:firstLine="0" w:firstLineChars="0"/>
        <w:textAlignment w:val="baseline"/>
        <w:rPr>
          <w:color w:val="000000"/>
          <w:sz w:val="32"/>
          <w:szCs w:val="32"/>
        </w:rPr>
      </w:pPr>
    </w:p>
    <w:p>
      <w:pPr>
        <w:adjustRightInd w:val="0"/>
        <w:snapToGrid w:val="0"/>
        <w:ind w:firstLine="0" w:firstLineChars="0"/>
        <w:textAlignment w:val="baseline"/>
        <w:rPr>
          <w:color w:val="000000"/>
          <w:sz w:val="32"/>
          <w:szCs w:val="32"/>
        </w:rPr>
        <w:sectPr>
          <w:headerReference r:id="rId7" w:type="first"/>
          <w:footerReference r:id="rId10" w:type="first"/>
          <w:headerReference r:id="rId5" w:type="default"/>
          <w:footerReference r:id="rId8" w:type="default"/>
          <w:headerReference r:id="rId6" w:type="even"/>
          <w:footerReference r:id="rId9" w:type="even"/>
          <w:pgSz w:w="11905" w:h="16838"/>
          <w:pgMar w:top="1417" w:right="1417" w:bottom="1417" w:left="1587" w:header="907" w:footer="680" w:gutter="0"/>
          <w:cols w:space="0" w:num="1"/>
          <w:rtlGutter w:val="0"/>
          <w:docGrid w:type="lines" w:linePitch="395" w:charSpace="0"/>
        </w:sectPr>
      </w:pPr>
    </w:p>
    <w:p>
      <w:pPr>
        <w:pageBreakBefore/>
        <w:spacing w:after="395" w:afterLines="100"/>
        <w:ind w:firstLine="0" w:firstLineChars="0"/>
        <w:jc w:val="center"/>
        <w:rPr>
          <w:rFonts w:eastAsia="黑体"/>
          <w:kern w:val="0"/>
          <w:sz w:val="36"/>
          <w:szCs w:val="36"/>
        </w:rPr>
      </w:pPr>
      <w:r>
        <w:rPr>
          <w:rFonts w:eastAsia="黑体"/>
          <w:kern w:val="0"/>
          <w:sz w:val="36"/>
          <w:szCs w:val="36"/>
        </w:rPr>
        <w:t>项目参加人员</w:t>
      </w:r>
      <w:r>
        <w:rPr>
          <w:rFonts w:hint="eastAsia" w:eastAsia="黑体"/>
          <w:kern w:val="0"/>
          <w:sz w:val="36"/>
          <w:szCs w:val="36"/>
        </w:rPr>
        <w:t>名单</w:t>
      </w:r>
    </w:p>
    <w:p>
      <w:pPr>
        <w:spacing w:before="197" w:beforeLines="50"/>
        <w:ind w:firstLine="0" w:firstLineChars="0"/>
        <w:jc w:val="left"/>
        <w:rPr>
          <w:rFonts w:ascii="黑体" w:eastAsia="黑体"/>
          <w:sz w:val="30"/>
          <w:szCs w:val="30"/>
        </w:rPr>
      </w:pPr>
      <w:r>
        <w:rPr>
          <w:rFonts w:hint="eastAsia" w:ascii="黑体" w:eastAsia="黑体"/>
          <w:sz w:val="30"/>
          <w:szCs w:val="30"/>
        </w:rPr>
        <w:t>中南林业科技大学</w:t>
      </w:r>
    </w:p>
    <w:p>
      <w:pPr>
        <w:widowControl/>
        <w:tabs>
          <w:tab w:val="center" w:pos="4201"/>
          <w:tab w:val="right" w:leader="dot" w:pos="9298"/>
        </w:tabs>
        <w:autoSpaceDE w:val="0"/>
        <w:autoSpaceDN w:val="0"/>
        <w:spacing w:line="560" w:lineRule="exact"/>
        <w:ind w:firstLine="560"/>
        <w:rPr>
          <w:rFonts w:cs="Times New Roman"/>
          <w:kern w:val="0"/>
          <w:szCs w:val="28"/>
        </w:rPr>
      </w:pPr>
      <w:r>
        <w:rPr>
          <w:rFonts w:hint="eastAsia" w:cs="Times New Roman"/>
          <w:kern w:val="0"/>
          <w:szCs w:val="28"/>
        </w:rPr>
        <w:t xml:space="preserve">闫文德  教 </w:t>
      </w:r>
      <w:r>
        <w:rPr>
          <w:rFonts w:cs="Times New Roman"/>
          <w:kern w:val="0"/>
          <w:szCs w:val="28"/>
        </w:rPr>
        <w:t xml:space="preserve"> </w:t>
      </w:r>
      <w:r>
        <w:rPr>
          <w:rFonts w:hint="eastAsia" w:cs="Times New Roman"/>
          <w:kern w:val="0"/>
          <w:szCs w:val="28"/>
        </w:rPr>
        <w:t>授、博士生导师（生态学）</w:t>
      </w:r>
    </w:p>
    <w:p>
      <w:pPr>
        <w:widowControl/>
        <w:tabs>
          <w:tab w:val="center" w:pos="4201"/>
          <w:tab w:val="right" w:leader="dot" w:pos="9298"/>
        </w:tabs>
        <w:autoSpaceDE w:val="0"/>
        <w:autoSpaceDN w:val="0"/>
        <w:spacing w:line="560" w:lineRule="exact"/>
        <w:ind w:firstLine="560"/>
        <w:rPr>
          <w:rFonts w:cs="Times New Roman"/>
          <w:kern w:val="0"/>
          <w:szCs w:val="28"/>
        </w:rPr>
      </w:pPr>
      <w:r>
        <w:rPr>
          <w:rFonts w:hint="eastAsia" w:cs="Times New Roman"/>
          <w:kern w:val="0"/>
          <w:szCs w:val="28"/>
        </w:rPr>
        <w:t xml:space="preserve">王光军  教 </w:t>
      </w:r>
      <w:r>
        <w:rPr>
          <w:rFonts w:cs="Times New Roman"/>
          <w:kern w:val="0"/>
          <w:szCs w:val="28"/>
        </w:rPr>
        <w:t xml:space="preserve"> </w:t>
      </w:r>
      <w:r>
        <w:rPr>
          <w:rFonts w:hint="eastAsia" w:cs="Times New Roman"/>
          <w:kern w:val="0"/>
          <w:szCs w:val="28"/>
        </w:rPr>
        <w:t>授、博士生导师（生态学）</w:t>
      </w:r>
    </w:p>
    <w:p>
      <w:pPr>
        <w:widowControl/>
        <w:tabs>
          <w:tab w:val="center" w:pos="4201"/>
          <w:tab w:val="right" w:leader="dot" w:pos="9298"/>
        </w:tabs>
        <w:autoSpaceDE w:val="0"/>
        <w:autoSpaceDN w:val="0"/>
        <w:spacing w:line="560" w:lineRule="exact"/>
        <w:ind w:firstLine="560"/>
        <w:rPr>
          <w:rFonts w:cs="Times New Roman"/>
          <w:kern w:val="0"/>
          <w:szCs w:val="28"/>
        </w:rPr>
      </w:pPr>
      <w:r>
        <w:rPr>
          <w:rFonts w:hint="eastAsia" w:cs="Times New Roman"/>
          <w:kern w:val="0"/>
          <w:szCs w:val="28"/>
        </w:rPr>
        <w:t>何功秀  副教授、博士（水土保持、林业规划）</w:t>
      </w:r>
    </w:p>
    <w:p>
      <w:pPr>
        <w:widowControl/>
        <w:tabs>
          <w:tab w:val="center" w:pos="4201"/>
          <w:tab w:val="right" w:leader="dot" w:pos="9298"/>
        </w:tabs>
        <w:autoSpaceDE w:val="0"/>
        <w:autoSpaceDN w:val="0"/>
        <w:spacing w:line="560" w:lineRule="exact"/>
        <w:ind w:firstLine="560"/>
        <w:rPr>
          <w:rFonts w:cs="Times New Roman"/>
          <w:kern w:val="0"/>
          <w:szCs w:val="28"/>
        </w:rPr>
      </w:pPr>
      <w:r>
        <w:rPr>
          <w:rFonts w:hint="eastAsia" w:cs="Times New Roman"/>
          <w:kern w:val="0"/>
          <w:szCs w:val="28"/>
        </w:rPr>
        <w:t xml:space="preserve">雷丕峰  教 </w:t>
      </w:r>
      <w:r>
        <w:rPr>
          <w:rFonts w:cs="Times New Roman"/>
          <w:kern w:val="0"/>
          <w:szCs w:val="28"/>
        </w:rPr>
        <w:t xml:space="preserve"> </w:t>
      </w:r>
      <w:r>
        <w:rPr>
          <w:rFonts w:hint="eastAsia" w:cs="Times New Roman"/>
          <w:kern w:val="0"/>
          <w:szCs w:val="28"/>
        </w:rPr>
        <w:t>授、博士生导师（生物多样性）</w:t>
      </w:r>
    </w:p>
    <w:p>
      <w:pPr>
        <w:widowControl/>
        <w:tabs>
          <w:tab w:val="center" w:pos="4201"/>
          <w:tab w:val="right" w:leader="dot" w:pos="9298"/>
        </w:tabs>
        <w:autoSpaceDE w:val="0"/>
        <w:autoSpaceDN w:val="0"/>
        <w:spacing w:line="560" w:lineRule="exact"/>
        <w:ind w:firstLine="560"/>
        <w:rPr>
          <w:rFonts w:cs="Times New Roman"/>
          <w:kern w:val="0"/>
          <w:szCs w:val="28"/>
        </w:rPr>
      </w:pPr>
      <w:r>
        <w:rPr>
          <w:rFonts w:hint="eastAsia" w:cs="Times New Roman"/>
          <w:kern w:val="0"/>
          <w:szCs w:val="28"/>
        </w:rPr>
        <w:t xml:space="preserve">陈永华  教 </w:t>
      </w:r>
      <w:r>
        <w:rPr>
          <w:rFonts w:cs="Times New Roman"/>
          <w:kern w:val="0"/>
          <w:szCs w:val="28"/>
        </w:rPr>
        <w:t xml:space="preserve"> </w:t>
      </w:r>
      <w:r>
        <w:rPr>
          <w:rFonts w:hint="eastAsia" w:cs="Times New Roman"/>
          <w:kern w:val="0"/>
          <w:szCs w:val="28"/>
        </w:rPr>
        <w:t>授、博士（环境生态修复）</w:t>
      </w:r>
    </w:p>
    <w:p>
      <w:pPr>
        <w:widowControl/>
        <w:tabs>
          <w:tab w:val="center" w:pos="4201"/>
          <w:tab w:val="right" w:leader="dot" w:pos="9298"/>
        </w:tabs>
        <w:autoSpaceDE w:val="0"/>
        <w:autoSpaceDN w:val="0"/>
        <w:spacing w:line="560" w:lineRule="exact"/>
        <w:ind w:firstLine="560"/>
        <w:rPr>
          <w:rFonts w:cs="Times New Roman"/>
          <w:kern w:val="0"/>
          <w:szCs w:val="28"/>
        </w:rPr>
      </w:pPr>
      <w:r>
        <w:rPr>
          <w:rFonts w:hint="eastAsia" w:cs="Times New Roman"/>
          <w:kern w:val="0"/>
          <w:szCs w:val="28"/>
        </w:rPr>
        <w:t xml:space="preserve">李家湘  副教授、博士（野生植物保护与利用） </w:t>
      </w:r>
    </w:p>
    <w:p>
      <w:pPr>
        <w:widowControl/>
        <w:tabs>
          <w:tab w:val="center" w:pos="4201"/>
          <w:tab w:val="right" w:leader="dot" w:pos="9298"/>
        </w:tabs>
        <w:autoSpaceDE w:val="0"/>
        <w:autoSpaceDN w:val="0"/>
        <w:spacing w:line="560" w:lineRule="exact"/>
        <w:ind w:firstLine="560"/>
        <w:rPr>
          <w:rFonts w:cs="Times New Roman"/>
          <w:kern w:val="0"/>
          <w:szCs w:val="28"/>
        </w:rPr>
      </w:pPr>
      <w:r>
        <w:rPr>
          <w:rFonts w:hint="eastAsia" w:cs="Times New Roman"/>
          <w:kern w:val="0"/>
          <w:szCs w:val="28"/>
        </w:rPr>
        <w:t>谢荣秀  副编审</w:t>
      </w:r>
    </w:p>
    <w:p>
      <w:pPr>
        <w:widowControl/>
        <w:tabs>
          <w:tab w:val="center" w:pos="4201"/>
          <w:tab w:val="right" w:leader="dot" w:pos="9298"/>
        </w:tabs>
        <w:autoSpaceDE w:val="0"/>
        <w:autoSpaceDN w:val="0"/>
        <w:spacing w:line="560" w:lineRule="exact"/>
        <w:ind w:firstLine="560"/>
        <w:rPr>
          <w:rFonts w:cs="Times New Roman"/>
          <w:kern w:val="0"/>
          <w:szCs w:val="28"/>
        </w:rPr>
      </w:pPr>
      <w:r>
        <w:rPr>
          <w:rFonts w:hint="eastAsia" w:cs="Times New Roman"/>
          <w:kern w:val="0"/>
          <w:szCs w:val="28"/>
        </w:rPr>
        <w:t xml:space="preserve">张  猛  博 </w:t>
      </w:r>
      <w:r>
        <w:rPr>
          <w:rFonts w:cs="Times New Roman"/>
          <w:kern w:val="0"/>
          <w:szCs w:val="28"/>
        </w:rPr>
        <w:t xml:space="preserve"> </w:t>
      </w:r>
      <w:r>
        <w:rPr>
          <w:rFonts w:hint="eastAsia" w:cs="Times New Roman"/>
          <w:kern w:val="0"/>
          <w:szCs w:val="28"/>
        </w:rPr>
        <w:t xml:space="preserve">士（地理信息系统应用） </w:t>
      </w:r>
    </w:p>
    <w:p>
      <w:pPr>
        <w:widowControl/>
        <w:tabs>
          <w:tab w:val="center" w:pos="4201"/>
          <w:tab w:val="right" w:leader="dot" w:pos="9298"/>
        </w:tabs>
        <w:autoSpaceDE w:val="0"/>
        <w:autoSpaceDN w:val="0"/>
        <w:spacing w:line="560" w:lineRule="exact"/>
        <w:ind w:firstLine="560"/>
        <w:rPr>
          <w:rFonts w:cs="Times New Roman"/>
          <w:kern w:val="0"/>
          <w:szCs w:val="28"/>
        </w:rPr>
      </w:pPr>
      <w:r>
        <w:rPr>
          <w:rFonts w:hint="eastAsia" w:cs="Times New Roman"/>
          <w:kern w:val="0"/>
          <w:szCs w:val="28"/>
        </w:rPr>
        <w:t>陈  毅  中级工程师（生态学）</w:t>
      </w:r>
    </w:p>
    <w:p>
      <w:pPr>
        <w:spacing w:before="197" w:beforeLines="50"/>
        <w:ind w:firstLine="0" w:firstLineChars="0"/>
        <w:jc w:val="left"/>
        <w:rPr>
          <w:rFonts w:ascii="黑体" w:eastAsia="黑体"/>
          <w:sz w:val="30"/>
          <w:szCs w:val="30"/>
        </w:rPr>
      </w:pPr>
      <w:r>
        <w:rPr>
          <w:rFonts w:hint="eastAsia" w:ascii="黑体" w:eastAsia="黑体"/>
          <w:sz w:val="30"/>
          <w:szCs w:val="30"/>
        </w:rPr>
        <w:t>石门县人民政府</w:t>
      </w:r>
    </w:p>
    <w:p>
      <w:pPr>
        <w:widowControl/>
        <w:tabs>
          <w:tab w:val="center" w:pos="4201"/>
          <w:tab w:val="right" w:leader="dot" w:pos="9298"/>
        </w:tabs>
        <w:autoSpaceDE w:val="0"/>
        <w:autoSpaceDN w:val="0"/>
        <w:spacing w:line="560" w:lineRule="exact"/>
        <w:ind w:firstLine="560"/>
        <w:rPr>
          <w:rFonts w:cs="Times New Roman"/>
          <w:kern w:val="0"/>
          <w:szCs w:val="28"/>
        </w:rPr>
      </w:pPr>
      <w:r>
        <w:rPr>
          <w:rFonts w:hint="eastAsia" w:cs="Times New Roman"/>
          <w:kern w:val="0"/>
          <w:szCs w:val="28"/>
          <w:lang w:val="en-US" w:eastAsia="zh-CN"/>
        </w:rPr>
        <w:t xml:space="preserve">张  斌  </w:t>
      </w:r>
      <w:r>
        <w:rPr>
          <w:rFonts w:hint="eastAsia" w:cs="Times New Roman"/>
          <w:kern w:val="0"/>
          <w:szCs w:val="28"/>
        </w:rPr>
        <w:t>县</w:t>
      </w:r>
      <w:r>
        <w:rPr>
          <w:rFonts w:hint="eastAsia" w:cs="Times New Roman"/>
          <w:kern w:val="0"/>
          <w:szCs w:val="28"/>
          <w:lang w:val="en-US" w:eastAsia="zh-CN"/>
        </w:rPr>
        <w:t>政府</w:t>
      </w:r>
      <w:r>
        <w:rPr>
          <w:rFonts w:hint="eastAsia" w:cs="Times New Roman"/>
          <w:kern w:val="0"/>
          <w:szCs w:val="28"/>
        </w:rPr>
        <w:t>副县长</w:t>
      </w:r>
    </w:p>
    <w:p>
      <w:pPr>
        <w:widowControl/>
        <w:tabs>
          <w:tab w:val="center" w:pos="4201"/>
          <w:tab w:val="right" w:leader="dot" w:pos="9298"/>
        </w:tabs>
        <w:autoSpaceDE w:val="0"/>
        <w:autoSpaceDN w:val="0"/>
        <w:spacing w:line="560" w:lineRule="exact"/>
        <w:ind w:firstLine="560"/>
        <w:rPr>
          <w:rFonts w:cs="Times New Roman"/>
          <w:kern w:val="0"/>
          <w:szCs w:val="28"/>
        </w:rPr>
      </w:pPr>
      <w:r>
        <w:rPr>
          <w:rFonts w:hint="eastAsia" w:cs="Times New Roman"/>
          <w:kern w:val="0"/>
          <w:szCs w:val="28"/>
        </w:rPr>
        <w:t>周训武  政府办副主任</w:t>
      </w:r>
    </w:p>
    <w:p>
      <w:pPr>
        <w:spacing w:before="197" w:beforeLines="50"/>
        <w:ind w:firstLine="0" w:firstLineChars="0"/>
        <w:jc w:val="left"/>
        <w:rPr>
          <w:rFonts w:ascii="黑体" w:eastAsia="黑体"/>
          <w:sz w:val="30"/>
          <w:szCs w:val="30"/>
        </w:rPr>
      </w:pPr>
      <w:r>
        <w:rPr>
          <w:rFonts w:hint="eastAsia" w:ascii="黑体" w:eastAsia="黑体"/>
          <w:sz w:val="30"/>
          <w:szCs w:val="30"/>
        </w:rPr>
        <w:t>湖南石门仙阳湖国家湿地公园管理处</w:t>
      </w:r>
    </w:p>
    <w:p>
      <w:pPr>
        <w:spacing w:line="560" w:lineRule="exact"/>
        <w:ind w:firstLine="560"/>
        <w:rPr>
          <w:szCs w:val="28"/>
        </w:rPr>
      </w:pPr>
      <w:r>
        <w:rPr>
          <w:rFonts w:hint="eastAsia"/>
          <w:szCs w:val="28"/>
          <w:lang w:eastAsia="zh-CN"/>
        </w:rPr>
        <w:t>石</w:t>
      </w:r>
      <w:r>
        <w:rPr>
          <w:rFonts w:hint="eastAsia"/>
          <w:szCs w:val="28"/>
          <w:lang w:val="en-US" w:eastAsia="zh-CN"/>
        </w:rPr>
        <w:t xml:space="preserve">  </w:t>
      </w:r>
      <w:r>
        <w:rPr>
          <w:rFonts w:hint="eastAsia"/>
          <w:szCs w:val="28"/>
          <w:lang w:eastAsia="zh-CN"/>
        </w:rPr>
        <w:t>震</w:t>
      </w:r>
      <w:r>
        <w:rPr>
          <w:rFonts w:hint="eastAsia"/>
          <w:szCs w:val="28"/>
        </w:rPr>
        <w:t xml:space="preserve">  党组书记、主 </w:t>
      </w:r>
      <w:r>
        <w:rPr>
          <w:szCs w:val="28"/>
        </w:rPr>
        <w:t xml:space="preserve"> </w:t>
      </w:r>
      <w:r>
        <w:rPr>
          <w:rFonts w:hint="eastAsia"/>
          <w:szCs w:val="28"/>
        </w:rPr>
        <w:t>任</w:t>
      </w:r>
    </w:p>
    <w:p>
      <w:pPr>
        <w:spacing w:line="560" w:lineRule="exact"/>
        <w:ind w:firstLine="560"/>
        <w:rPr>
          <w:szCs w:val="28"/>
        </w:rPr>
      </w:pPr>
      <w:r>
        <w:rPr>
          <w:rFonts w:hint="eastAsia"/>
          <w:szCs w:val="28"/>
          <w:lang w:eastAsia="zh-CN"/>
        </w:rPr>
        <w:t>王</w:t>
      </w:r>
      <w:r>
        <w:rPr>
          <w:rFonts w:hint="eastAsia"/>
          <w:szCs w:val="28"/>
          <w:lang w:val="en-US" w:eastAsia="zh-CN"/>
        </w:rPr>
        <w:t xml:space="preserve">  </w:t>
      </w:r>
      <w:r>
        <w:rPr>
          <w:rFonts w:hint="eastAsia"/>
          <w:szCs w:val="28"/>
          <w:lang w:eastAsia="zh-CN"/>
        </w:rPr>
        <w:t>燕</w:t>
      </w:r>
      <w:r>
        <w:rPr>
          <w:rFonts w:hint="eastAsia"/>
          <w:szCs w:val="28"/>
        </w:rPr>
        <w:t xml:space="preserve">  党组成员、副主任</w:t>
      </w:r>
    </w:p>
    <w:p>
      <w:pPr>
        <w:spacing w:line="560" w:lineRule="exact"/>
        <w:ind w:firstLine="560"/>
        <w:rPr>
          <w:szCs w:val="28"/>
        </w:rPr>
      </w:pPr>
      <w:r>
        <w:rPr>
          <w:rFonts w:hint="eastAsia"/>
          <w:szCs w:val="28"/>
        </w:rPr>
        <w:t>谢赢谱  党组成员、副主任</w:t>
      </w:r>
    </w:p>
    <w:p>
      <w:pPr>
        <w:spacing w:line="560" w:lineRule="exact"/>
        <w:ind w:firstLine="560"/>
        <w:rPr>
          <w:szCs w:val="28"/>
        </w:rPr>
      </w:pPr>
      <w:r>
        <w:rPr>
          <w:rFonts w:hint="eastAsia"/>
          <w:szCs w:val="28"/>
        </w:rPr>
        <w:t>于  青  办公室主任</w:t>
      </w:r>
    </w:p>
    <w:p>
      <w:pPr>
        <w:spacing w:line="560" w:lineRule="exact"/>
        <w:ind w:firstLine="560"/>
        <w:rPr>
          <w:szCs w:val="28"/>
        </w:rPr>
      </w:pPr>
      <w:r>
        <w:rPr>
          <w:rFonts w:hint="eastAsia"/>
          <w:szCs w:val="28"/>
        </w:rPr>
        <w:t>陆根法  资源保护股股长</w:t>
      </w:r>
    </w:p>
    <w:p>
      <w:pPr>
        <w:spacing w:line="560" w:lineRule="exact"/>
        <w:ind w:firstLine="560"/>
        <w:rPr>
          <w:szCs w:val="28"/>
        </w:rPr>
      </w:pPr>
      <w:r>
        <w:rPr>
          <w:rFonts w:hint="eastAsia"/>
          <w:szCs w:val="28"/>
          <w:lang w:val="en-US" w:eastAsia="zh-CN"/>
        </w:rPr>
        <w:t>胡圣平</w:t>
      </w:r>
      <w:r>
        <w:rPr>
          <w:rFonts w:hint="eastAsia"/>
          <w:szCs w:val="28"/>
        </w:rPr>
        <w:t xml:space="preserve">  资源开发股股长</w:t>
      </w:r>
    </w:p>
    <w:p>
      <w:pPr>
        <w:spacing w:line="560" w:lineRule="exact"/>
        <w:ind w:firstLine="560"/>
        <w:rPr>
          <w:szCs w:val="28"/>
        </w:rPr>
      </w:pPr>
      <w:r>
        <w:rPr>
          <w:rFonts w:hint="eastAsia"/>
          <w:szCs w:val="28"/>
          <w:lang w:val="en-US" w:eastAsia="zh-CN"/>
        </w:rPr>
        <w:t>冯钰罡</w:t>
      </w:r>
      <w:r>
        <w:rPr>
          <w:rFonts w:hint="eastAsia"/>
          <w:szCs w:val="28"/>
        </w:rPr>
        <w:t xml:space="preserve">  科普宣教股股长</w:t>
      </w:r>
    </w:p>
    <w:p>
      <w:pPr>
        <w:spacing w:line="560" w:lineRule="exact"/>
        <w:ind w:firstLine="560"/>
        <w:rPr>
          <w:rFonts w:hint="eastAsia"/>
          <w:szCs w:val="28"/>
        </w:rPr>
      </w:pPr>
      <w:r>
        <w:rPr>
          <w:rFonts w:hint="eastAsia"/>
          <w:szCs w:val="28"/>
        </w:rPr>
        <w:t>李定坤  科研监测股股长</w:t>
      </w:r>
    </w:p>
    <w:p>
      <w:pPr>
        <w:spacing w:line="560" w:lineRule="exact"/>
        <w:ind w:firstLine="560"/>
        <w:rPr>
          <w:rFonts w:hint="eastAsia"/>
          <w:szCs w:val="28"/>
        </w:rPr>
      </w:pPr>
      <w:r>
        <w:rPr>
          <w:rFonts w:hint="eastAsia"/>
          <w:szCs w:val="28"/>
          <w:lang w:val="en-US" w:eastAsia="zh-CN"/>
        </w:rPr>
        <w:t>向红东  出纳</w:t>
      </w:r>
    </w:p>
    <w:p>
      <w:pPr>
        <w:spacing w:line="560" w:lineRule="exact"/>
        <w:ind w:firstLine="560"/>
        <w:rPr>
          <w:rFonts w:hint="default" w:eastAsia="仿宋"/>
          <w:szCs w:val="28"/>
          <w:lang w:val="en-US" w:eastAsia="zh-CN"/>
        </w:rPr>
      </w:pPr>
      <w:r>
        <w:rPr>
          <w:rFonts w:hint="eastAsia"/>
          <w:szCs w:val="28"/>
        </w:rPr>
        <w:t xml:space="preserve">郭大刚  </w:t>
      </w:r>
      <w:r>
        <w:rPr>
          <w:rFonts w:hint="eastAsia"/>
          <w:szCs w:val="28"/>
          <w:lang w:val="en-US" w:eastAsia="zh-CN"/>
        </w:rPr>
        <w:t>派驻皂市镇万仞洞村乡村振兴工作队队员</w:t>
      </w:r>
    </w:p>
    <w:p>
      <w:pPr>
        <w:spacing w:line="560" w:lineRule="exact"/>
        <w:ind w:firstLine="560"/>
        <w:rPr>
          <w:rFonts w:hint="eastAsia"/>
          <w:szCs w:val="28"/>
        </w:rPr>
      </w:pPr>
      <w:r>
        <w:rPr>
          <w:rFonts w:hint="eastAsia"/>
          <w:szCs w:val="28"/>
        </w:rPr>
        <w:t>林  荣  机关财务会计</w:t>
      </w:r>
    </w:p>
    <w:p>
      <w:pPr>
        <w:ind w:firstLine="0" w:firstLineChars="0"/>
        <w:jc w:val="left"/>
        <w:rPr>
          <w:rFonts w:ascii="黑体" w:eastAsia="黑体"/>
          <w:szCs w:val="28"/>
        </w:rPr>
      </w:pPr>
      <w:r>
        <w:rPr>
          <w:rFonts w:hint="eastAsia" w:ascii="黑体" w:eastAsia="黑体"/>
          <w:szCs w:val="28"/>
        </w:rPr>
        <w:t>石门县林业局</w:t>
      </w:r>
    </w:p>
    <w:p>
      <w:pPr>
        <w:spacing w:line="560" w:lineRule="exact"/>
        <w:ind w:firstLine="560"/>
        <w:jc w:val="left"/>
        <w:rPr>
          <w:rFonts w:ascii="仿宋" w:hAnsi="仿宋" w:cs="仿宋"/>
          <w:szCs w:val="28"/>
        </w:rPr>
      </w:pPr>
      <w:r>
        <w:rPr>
          <w:rFonts w:hint="eastAsia" w:ascii="仿宋" w:hAnsi="仿宋" w:cs="仿宋"/>
          <w:szCs w:val="28"/>
          <w:lang w:eastAsia="zh-CN"/>
        </w:rPr>
        <w:t>向绪政</w:t>
      </w:r>
      <w:r>
        <w:rPr>
          <w:rFonts w:hint="eastAsia" w:ascii="仿宋" w:hAnsi="仿宋" w:cs="仿宋"/>
          <w:szCs w:val="28"/>
        </w:rPr>
        <w:t xml:space="preserve">  局 </w:t>
      </w:r>
      <w:r>
        <w:rPr>
          <w:rFonts w:ascii="仿宋" w:hAnsi="仿宋" w:cs="仿宋"/>
          <w:szCs w:val="28"/>
        </w:rPr>
        <w:t xml:space="preserve"> </w:t>
      </w:r>
      <w:r>
        <w:rPr>
          <w:rFonts w:hint="eastAsia" w:ascii="仿宋" w:hAnsi="仿宋" w:cs="仿宋"/>
          <w:szCs w:val="28"/>
        </w:rPr>
        <w:t>长</w:t>
      </w:r>
    </w:p>
    <w:p>
      <w:pPr>
        <w:spacing w:line="560" w:lineRule="exact"/>
        <w:ind w:firstLine="560"/>
        <w:jc w:val="left"/>
        <w:rPr>
          <w:rFonts w:ascii="仿宋" w:hAnsi="仿宋" w:cs="仿宋"/>
          <w:szCs w:val="28"/>
        </w:rPr>
      </w:pPr>
      <w:r>
        <w:rPr>
          <w:rFonts w:hint="eastAsia"/>
          <w:szCs w:val="28"/>
        </w:rPr>
        <w:t>陈</w:t>
      </w:r>
      <w:r>
        <w:rPr>
          <w:szCs w:val="28"/>
        </w:rPr>
        <w:t xml:space="preserve">  </w:t>
      </w:r>
      <w:r>
        <w:rPr>
          <w:rFonts w:hint="eastAsia"/>
          <w:szCs w:val="28"/>
        </w:rPr>
        <w:t>睿</w:t>
      </w:r>
      <w:r>
        <w:rPr>
          <w:rFonts w:hint="eastAsia" w:ascii="仿宋" w:hAnsi="仿宋" w:cs="仿宋"/>
          <w:szCs w:val="28"/>
        </w:rPr>
        <w:t xml:space="preserve">  副局长</w:t>
      </w:r>
    </w:p>
    <w:p>
      <w:pPr>
        <w:spacing w:before="197" w:beforeLines="50"/>
        <w:ind w:firstLine="0" w:firstLineChars="0"/>
        <w:jc w:val="left"/>
        <w:rPr>
          <w:rFonts w:ascii="黑体" w:eastAsia="黑体"/>
          <w:sz w:val="30"/>
          <w:szCs w:val="30"/>
        </w:rPr>
      </w:pPr>
      <w:r>
        <w:rPr>
          <w:rFonts w:hint="eastAsia" w:ascii="黑体" w:eastAsia="黑体"/>
          <w:sz w:val="30"/>
          <w:szCs w:val="30"/>
        </w:rPr>
        <w:t>协作单位</w:t>
      </w:r>
    </w:p>
    <w:tbl>
      <w:tblPr>
        <w:tblStyle w:val="33"/>
        <w:tblW w:w="8987" w:type="dxa"/>
        <w:tblInd w:w="10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112"/>
        <w:gridCol w:w="2925"/>
        <w:gridCol w:w="295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112" w:type="dxa"/>
          </w:tcPr>
          <w:p>
            <w:pPr>
              <w:ind w:firstLine="0" w:firstLineChars="0"/>
              <w:jc w:val="left"/>
              <w:rPr>
                <w:rFonts w:ascii="黑体" w:hAnsi="黑体" w:eastAsia="黑体" w:cs="黑体"/>
                <w:sz w:val="24"/>
              </w:rPr>
            </w:pPr>
            <w:r>
              <w:rPr>
                <w:rFonts w:hint="eastAsia" w:ascii="黑体" w:hAnsi="黑体" w:eastAsia="黑体" w:cs="黑体"/>
                <w:bCs/>
                <w:spacing w:val="12"/>
                <w:kern w:val="0"/>
                <w:sz w:val="24"/>
              </w:rPr>
              <w:t>石门县发展和改革局</w:t>
            </w:r>
          </w:p>
        </w:tc>
        <w:tc>
          <w:tcPr>
            <w:tcW w:w="2925" w:type="dxa"/>
          </w:tcPr>
          <w:p>
            <w:pPr>
              <w:ind w:firstLine="0" w:firstLineChars="0"/>
              <w:jc w:val="left"/>
              <w:rPr>
                <w:rFonts w:ascii="黑体" w:hAnsi="黑体" w:eastAsia="黑体" w:cs="黑体"/>
                <w:sz w:val="24"/>
              </w:rPr>
            </w:pPr>
            <w:r>
              <w:rPr>
                <w:rFonts w:hint="eastAsia" w:ascii="黑体" w:hAnsi="黑体" w:eastAsia="黑体" w:cs="黑体"/>
                <w:sz w:val="24"/>
              </w:rPr>
              <w:t>石门县财政局</w:t>
            </w:r>
          </w:p>
        </w:tc>
        <w:tc>
          <w:tcPr>
            <w:tcW w:w="2950" w:type="dxa"/>
          </w:tcPr>
          <w:p>
            <w:pPr>
              <w:ind w:firstLine="0" w:firstLineChars="0"/>
              <w:jc w:val="left"/>
              <w:rPr>
                <w:rFonts w:ascii="黑体" w:hAnsi="黑体" w:eastAsia="黑体" w:cs="黑体"/>
                <w:sz w:val="24"/>
              </w:rPr>
            </w:pPr>
            <w:r>
              <w:rPr>
                <w:rFonts w:hint="eastAsia" w:ascii="黑体" w:hAnsi="黑体" w:eastAsia="黑体" w:cs="黑体"/>
                <w:sz w:val="24"/>
              </w:rPr>
              <w:t>石门县自然资源局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112" w:type="dxa"/>
          </w:tcPr>
          <w:p>
            <w:pPr>
              <w:ind w:firstLine="0" w:firstLineChars="0"/>
              <w:jc w:val="left"/>
              <w:rPr>
                <w:rFonts w:ascii="黑体" w:hAnsi="黑体" w:eastAsia="黑体" w:cs="黑体"/>
                <w:sz w:val="24"/>
              </w:rPr>
            </w:pPr>
            <w:r>
              <w:rPr>
                <w:rFonts w:hint="eastAsia" w:ascii="黑体" w:hAnsi="黑体" w:eastAsia="黑体" w:cs="黑体"/>
                <w:sz w:val="24"/>
              </w:rPr>
              <w:t>石门县住房和城乡建设局</w:t>
            </w:r>
          </w:p>
        </w:tc>
        <w:tc>
          <w:tcPr>
            <w:tcW w:w="2925" w:type="dxa"/>
          </w:tcPr>
          <w:p>
            <w:pPr>
              <w:ind w:firstLine="0" w:firstLineChars="0"/>
              <w:jc w:val="left"/>
              <w:rPr>
                <w:rFonts w:ascii="黑体" w:hAnsi="黑体" w:eastAsia="黑体" w:cs="黑体"/>
                <w:sz w:val="24"/>
              </w:rPr>
            </w:pPr>
            <w:r>
              <w:rPr>
                <w:rFonts w:hint="eastAsia" w:ascii="黑体" w:hAnsi="黑体" w:eastAsia="黑体" w:cs="黑体"/>
                <w:sz w:val="24"/>
              </w:rPr>
              <w:t>石门县交通运输局</w:t>
            </w:r>
          </w:p>
        </w:tc>
        <w:tc>
          <w:tcPr>
            <w:tcW w:w="2950" w:type="dxa"/>
          </w:tcPr>
          <w:p>
            <w:pPr>
              <w:ind w:firstLine="0" w:firstLineChars="0"/>
              <w:jc w:val="left"/>
              <w:rPr>
                <w:rFonts w:ascii="黑体" w:hAnsi="黑体" w:eastAsia="黑体" w:cs="黑体"/>
                <w:sz w:val="24"/>
              </w:rPr>
            </w:pPr>
            <w:r>
              <w:rPr>
                <w:rFonts w:hint="eastAsia" w:ascii="黑体" w:hAnsi="黑体" w:eastAsia="黑体" w:cs="黑体"/>
                <w:sz w:val="24"/>
              </w:rPr>
              <w:t>石门县水利局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112" w:type="dxa"/>
          </w:tcPr>
          <w:p>
            <w:pPr>
              <w:ind w:firstLine="0" w:firstLineChars="0"/>
              <w:jc w:val="left"/>
              <w:rPr>
                <w:rFonts w:ascii="黑体" w:hAnsi="黑体" w:eastAsia="黑体" w:cs="黑体"/>
                <w:sz w:val="24"/>
              </w:rPr>
            </w:pPr>
            <w:r>
              <w:rPr>
                <w:rFonts w:hint="eastAsia" w:ascii="黑体" w:hAnsi="黑体" w:eastAsia="黑体" w:cs="黑体"/>
                <w:sz w:val="24"/>
              </w:rPr>
              <w:t>石门县农业农村局</w:t>
            </w:r>
          </w:p>
        </w:tc>
        <w:tc>
          <w:tcPr>
            <w:tcW w:w="2925" w:type="dxa"/>
          </w:tcPr>
          <w:p>
            <w:pPr>
              <w:ind w:firstLine="0" w:firstLineChars="0"/>
              <w:jc w:val="left"/>
              <w:rPr>
                <w:rFonts w:ascii="黑体" w:hAnsi="黑体" w:eastAsia="黑体" w:cs="黑体"/>
                <w:sz w:val="24"/>
              </w:rPr>
            </w:pPr>
            <w:r>
              <w:rPr>
                <w:rFonts w:hint="eastAsia" w:ascii="黑体" w:hAnsi="黑体" w:eastAsia="黑体" w:cs="黑体"/>
                <w:sz w:val="24"/>
              </w:rPr>
              <w:t>石门县商务局</w:t>
            </w:r>
          </w:p>
        </w:tc>
        <w:tc>
          <w:tcPr>
            <w:tcW w:w="2950" w:type="dxa"/>
          </w:tcPr>
          <w:p>
            <w:pPr>
              <w:ind w:firstLine="0" w:firstLineChars="0"/>
              <w:jc w:val="left"/>
              <w:rPr>
                <w:rFonts w:ascii="黑体" w:hAnsi="黑体" w:eastAsia="黑体" w:cs="黑体"/>
                <w:sz w:val="24"/>
              </w:rPr>
            </w:pPr>
            <w:r>
              <w:rPr>
                <w:rFonts w:hint="eastAsia" w:ascii="黑体" w:hAnsi="黑体" w:eastAsia="黑体" w:cs="黑体"/>
                <w:color w:val="333333"/>
                <w:sz w:val="24"/>
                <w:shd w:val="clear" w:color="auto" w:fill="FFFFFF"/>
              </w:rPr>
              <w:t>石门县文旅广电体育局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112" w:type="dxa"/>
          </w:tcPr>
          <w:p>
            <w:pPr>
              <w:ind w:firstLine="0" w:firstLineChars="0"/>
              <w:jc w:val="left"/>
              <w:rPr>
                <w:rFonts w:ascii="黑体" w:hAnsi="黑体" w:eastAsia="黑体" w:cs="黑体"/>
                <w:sz w:val="24"/>
              </w:rPr>
            </w:pPr>
            <w:r>
              <w:rPr>
                <w:rFonts w:hint="eastAsia" w:ascii="黑体" w:hAnsi="黑体" w:eastAsia="黑体" w:cs="黑体"/>
                <w:color w:val="333333"/>
                <w:sz w:val="24"/>
                <w:shd w:val="clear" w:color="auto" w:fill="FFFFFF"/>
              </w:rPr>
              <w:t>石门县全域旅游发展中心</w:t>
            </w:r>
          </w:p>
        </w:tc>
        <w:tc>
          <w:tcPr>
            <w:tcW w:w="2925" w:type="dxa"/>
          </w:tcPr>
          <w:p>
            <w:pPr>
              <w:ind w:firstLine="0" w:firstLineChars="0"/>
              <w:jc w:val="left"/>
              <w:rPr>
                <w:rFonts w:ascii="黑体" w:hAnsi="黑体" w:eastAsia="黑体" w:cs="黑体"/>
                <w:sz w:val="24"/>
              </w:rPr>
            </w:pPr>
            <w:r>
              <w:rPr>
                <w:rFonts w:hint="eastAsia" w:ascii="黑体" w:hAnsi="黑体" w:eastAsia="黑体" w:cs="黑体"/>
                <w:color w:val="333333"/>
                <w:sz w:val="24"/>
                <w:shd w:val="clear" w:color="auto" w:fill="FFFFFF"/>
              </w:rPr>
              <w:t>石门县</w:t>
            </w:r>
            <w:r>
              <w:rPr>
                <w:rFonts w:hint="eastAsia" w:ascii="黑体" w:hAnsi="黑体" w:eastAsia="黑体" w:cs="黑体"/>
                <w:sz w:val="24"/>
              </w:rPr>
              <w:t>统计局</w:t>
            </w:r>
          </w:p>
        </w:tc>
        <w:tc>
          <w:tcPr>
            <w:tcW w:w="2950" w:type="dxa"/>
          </w:tcPr>
          <w:p>
            <w:pPr>
              <w:ind w:firstLine="0" w:firstLineChars="0"/>
              <w:jc w:val="left"/>
              <w:rPr>
                <w:rFonts w:ascii="黑体" w:hAnsi="黑体" w:eastAsia="黑体" w:cs="黑体"/>
                <w:sz w:val="24"/>
              </w:rPr>
            </w:pPr>
            <w:r>
              <w:rPr>
                <w:rFonts w:hint="eastAsia" w:ascii="黑体" w:hAnsi="黑体" w:eastAsia="黑体" w:cs="黑体"/>
                <w:color w:val="333333"/>
                <w:sz w:val="24"/>
                <w:shd w:val="clear" w:color="auto" w:fill="FFFFFF"/>
              </w:rPr>
              <w:t>石门县畜牧水产事务中心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112" w:type="dxa"/>
          </w:tcPr>
          <w:p>
            <w:pPr>
              <w:ind w:firstLine="0" w:firstLineChars="0"/>
              <w:jc w:val="left"/>
              <w:rPr>
                <w:rFonts w:ascii="黑体" w:hAnsi="黑体" w:eastAsia="黑体" w:cs="黑体"/>
                <w:bCs/>
                <w:spacing w:val="12"/>
                <w:kern w:val="0"/>
                <w:sz w:val="24"/>
              </w:rPr>
            </w:pPr>
            <w:r>
              <w:rPr>
                <w:rFonts w:hint="eastAsia" w:ascii="黑体" w:hAnsi="黑体" w:eastAsia="黑体" w:cs="黑体"/>
                <w:sz w:val="24"/>
              </w:rPr>
              <w:t>常德市生态环境局石门分局</w:t>
            </w:r>
          </w:p>
        </w:tc>
        <w:tc>
          <w:tcPr>
            <w:tcW w:w="2925" w:type="dxa"/>
          </w:tcPr>
          <w:p>
            <w:pPr>
              <w:ind w:firstLine="0" w:firstLineChars="0"/>
              <w:jc w:val="left"/>
              <w:rPr>
                <w:rFonts w:ascii="黑体" w:hAnsi="黑体" w:eastAsia="黑体" w:cs="黑体"/>
                <w:bCs/>
                <w:spacing w:val="12"/>
                <w:kern w:val="0"/>
                <w:sz w:val="24"/>
              </w:rPr>
            </w:pPr>
            <w:r>
              <w:rPr>
                <w:rFonts w:hint="eastAsia" w:ascii="黑体" w:hAnsi="黑体" w:eastAsia="黑体" w:cs="黑体"/>
                <w:sz w:val="24"/>
              </w:rPr>
              <w:t>石门县气象局</w:t>
            </w:r>
          </w:p>
        </w:tc>
        <w:tc>
          <w:tcPr>
            <w:tcW w:w="2950" w:type="dxa"/>
          </w:tcPr>
          <w:p>
            <w:pPr>
              <w:ind w:firstLine="0" w:firstLineChars="0"/>
              <w:jc w:val="left"/>
              <w:rPr>
                <w:rFonts w:ascii="黑体" w:hAnsi="黑体" w:eastAsia="黑体" w:cs="黑体"/>
                <w:sz w:val="24"/>
              </w:rPr>
            </w:pPr>
            <w:r>
              <w:rPr>
                <w:rFonts w:hint="eastAsia" w:ascii="黑体" w:hAnsi="黑体" w:eastAsia="黑体" w:cs="黑体"/>
                <w:sz w:val="24"/>
              </w:rPr>
              <w:t>石门县水文局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112" w:type="dxa"/>
          </w:tcPr>
          <w:p>
            <w:pPr>
              <w:ind w:firstLine="0" w:firstLineChars="0"/>
              <w:jc w:val="left"/>
              <w:rPr>
                <w:rFonts w:ascii="黑体" w:hAnsi="黑体" w:eastAsia="黑体" w:cs="黑体"/>
                <w:bCs/>
                <w:spacing w:val="12"/>
                <w:kern w:val="0"/>
                <w:sz w:val="24"/>
              </w:rPr>
            </w:pPr>
            <w:r>
              <w:rPr>
                <w:rFonts w:hint="eastAsia" w:ascii="黑体" w:hAnsi="黑体" w:eastAsia="黑体" w:cs="黑体"/>
                <w:sz w:val="24"/>
              </w:rPr>
              <w:t>石门县委党史研究室</w:t>
            </w:r>
          </w:p>
        </w:tc>
        <w:tc>
          <w:tcPr>
            <w:tcW w:w="2925" w:type="dxa"/>
          </w:tcPr>
          <w:p>
            <w:pPr>
              <w:ind w:firstLine="0" w:firstLineChars="0"/>
              <w:jc w:val="left"/>
              <w:rPr>
                <w:rFonts w:ascii="黑体" w:hAnsi="黑体" w:eastAsia="黑体" w:cs="黑体"/>
                <w:bCs/>
                <w:spacing w:val="12"/>
                <w:kern w:val="0"/>
                <w:sz w:val="24"/>
              </w:rPr>
            </w:pPr>
            <w:r>
              <w:rPr>
                <w:rFonts w:hint="eastAsia" w:ascii="黑体" w:hAnsi="黑体" w:eastAsia="黑体" w:cs="黑体"/>
                <w:color w:val="333333"/>
                <w:sz w:val="24"/>
                <w:shd w:val="clear" w:color="auto" w:fill="FFFFFF"/>
              </w:rPr>
              <w:t>石门县招商促进事务中心</w:t>
            </w:r>
          </w:p>
        </w:tc>
        <w:tc>
          <w:tcPr>
            <w:tcW w:w="2950" w:type="dxa"/>
          </w:tcPr>
          <w:p>
            <w:pPr>
              <w:ind w:firstLine="0" w:firstLineChars="0"/>
              <w:jc w:val="left"/>
              <w:rPr>
                <w:rFonts w:ascii="黑体" w:hAnsi="黑体" w:eastAsia="黑体" w:cs="黑体"/>
                <w:sz w:val="24"/>
              </w:rPr>
            </w:pPr>
            <w:r>
              <w:rPr>
                <w:rFonts w:hint="eastAsia" w:ascii="黑体" w:hAnsi="黑体" w:eastAsia="黑体" w:cs="黑体"/>
                <w:sz w:val="24"/>
              </w:rPr>
              <w:t>石门县档案馆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112" w:type="dxa"/>
          </w:tcPr>
          <w:p>
            <w:pPr>
              <w:ind w:firstLine="0" w:firstLineChars="0"/>
              <w:jc w:val="left"/>
              <w:rPr>
                <w:rFonts w:ascii="黑体" w:hAnsi="黑体" w:eastAsia="黑体" w:cs="黑体"/>
                <w:bCs/>
                <w:spacing w:val="12"/>
                <w:kern w:val="0"/>
                <w:sz w:val="24"/>
              </w:rPr>
            </w:pPr>
            <w:r>
              <w:rPr>
                <w:rFonts w:hint="eastAsia" w:ascii="黑体" w:hAnsi="黑体" w:eastAsia="黑体" w:cs="黑体"/>
                <w:sz w:val="24"/>
              </w:rPr>
              <w:t>石门县皂市镇</w:t>
            </w:r>
          </w:p>
        </w:tc>
        <w:tc>
          <w:tcPr>
            <w:tcW w:w="2925" w:type="dxa"/>
          </w:tcPr>
          <w:p>
            <w:pPr>
              <w:ind w:firstLine="0" w:firstLineChars="0"/>
              <w:jc w:val="left"/>
              <w:rPr>
                <w:rFonts w:ascii="黑体" w:hAnsi="黑体" w:eastAsia="黑体" w:cs="黑体"/>
                <w:bCs/>
                <w:spacing w:val="12"/>
                <w:kern w:val="0"/>
                <w:sz w:val="24"/>
              </w:rPr>
            </w:pPr>
            <w:r>
              <w:rPr>
                <w:rFonts w:hint="eastAsia" w:ascii="黑体" w:hAnsi="黑体" w:eastAsia="黑体" w:cs="黑体"/>
                <w:sz w:val="24"/>
              </w:rPr>
              <w:t>石门县白云镇</w:t>
            </w:r>
          </w:p>
        </w:tc>
        <w:tc>
          <w:tcPr>
            <w:tcW w:w="2950" w:type="dxa"/>
          </w:tcPr>
          <w:p>
            <w:pPr>
              <w:ind w:firstLine="0" w:firstLineChars="0"/>
              <w:jc w:val="left"/>
              <w:rPr>
                <w:rFonts w:ascii="黑体" w:hAnsi="黑体" w:eastAsia="黑体" w:cs="黑体"/>
                <w:sz w:val="24"/>
              </w:rPr>
            </w:pPr>
            <w:r>
              <w:rPr>
                <w:rFonts w:hint="eastAsia" w:ascii="黑体" w:hAnsi="黑体" w:eastAsia="黑体" w:cs="黑体"/>
                <w:sz w:val="24"/>
              </w:rPr>
              <w:t>石门县维新镇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112" w:type="dxa"/>
          </w:tcPr>
          <w:p>
            <w:pPr>
              <w:ind w:firstLine="0" w:firstLineChars="0"/>
              <w:jc w:val="left"/>
              <w:rPr>
                <w:rFonts w:ascii="黑体" w:hAnsi="黑体" w:eastAsia="黑体" w:cs="黑体"/>
                <w:bCs/>
                <w:spacing w:val="12"/>
                <w:kern w:val="0"/>
                <w:sz w:val="24"/>
              </w:rPr>
            </w:pPr>
            <w:r>
              <w:rPr>
                <w:rFonts w:hint="eastAsia" w:ascii="黑体" w:hAnsi="黑体" w:eastAsia="黑体" w:cs="黑体"/>
                <w:sz w:val="24"/>
              </w:rPr>
              <w:t>石门县磨市镇</w:t>
            </w:r>
          </w:p>
        </w:tc>
        <w:tc>
          <w:tcPr>
            <w:tcW w:w="2925" w:type="dxa"/>
          </w:tcPr>
          <w:p>
            <w:pPr>
              <w:ind w:firstLine="0" w:firstLineChars="0"/>
              <w:jc w:val="left"/>
              <w:rPr>
                <w:rFonts w:ascii="黑体" w:hAnsi="黑体" w:eastAsia="黑体" w:cs="黑体"/>
                <w:bCs/>
                <w:spacing w:val="12"/>
                <w:kern w:val="0"/>
                <w:sz w:val="24"/>
              </w:rPr>
            </w:pPr>
            <w:r>
              <w:rPr>
                <w:rFonts w:hint="eastAsia" w:ascii="黑体" w:hAnsi="黑体" w:eastAsia="黑体" w:cs="黑体"/>
                <w:sz w:val="24"/>
              </w:rPr>
              <w:t>石门县新铺镇</w:t>
            </w:r>
          </w:p>
        </w:tc>
        <w:tc>
          <w:tcPr>
            <w:tcW w:w="2950" w:type="dxa"/>
          </w:tcPr>
          <w:p>
            <w:pPr>
              <w:ind w:firstLine="0" w:firstLineChars="0"/>
              <w:jc w:val="left"/>
              <w:rPr>
                <w:rFonts w:ascii="黑体" w:hAnsi="黑体" w:eastAsia="黑体" w:cs="黑体"/>
                <w:sz w:val="24"/>
              </w:rPr>
            </w:pPr>
            <w:r>
              <w:rPr>
                <w:rFonts w:hint="eastAsia" w:ascii="黑体" w:hAnsi="黑体" w:eastAsia="黑体" w:cs="黑体"/>
                <w:sz w:val="24"/>
              </w:rPr>
              <w:t>石门县雁池乡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5" w:hRule="atLeast"/>
        </w:trPr>
        <w:tc>
          <w:tcPr>
            <w:tcW w:w="3112" w:type="dxa"/>
          </w:tcPr>
          <w:p>
            <w:pPr>
              <w:ind w:firstLine="0" w:firstLineChars="0"/>
              <w:jc w:val="left"/>
              <w:rPr>
                <w:rFonts w:ascii="黑体" w:hAnsi="黑体" w:eastAsia="黑体" w:cs="黑体"/>
                <w:bCs/>
                <w:spacing w:val="12"/>
                <w:kern w:val="0"/>
                <w:sz w:val="24"/>
              </w:rPr>
            </w:pPr>
            <w:r>
              <w:rPr>
                <w:rFonts w:hint="eastAsia" w:ascii="黑体" w:hAnsi="黑体" w:eastAsia="黑体" w:cs="黑体"/>
                <w:sz w:val="24"/>
              </w:rPr>
              <w:t>石门县所街乡</w:t>
            </w:r>
          </w:p>
        </w:tc>
        <w:tc>
          <w:tcPr>
            <w:tcW w:w="2925" w:type="dxa"/>
          </w:tcPr>
          <w:p>
            <w:pPr>
              <w:ind w:firstLine="0" w:firstLineChars="0"/>
              <w:jc w:val="left"/>
              <w:rPr>
                <w:rFonts w:ascii="黑体" w:hAnsi="黑体" w:eastAsia="黑体" w:cs="黑体"/>
                <w:bCs/>
                <w:spacing w:val="12"/>
                <w:kern w:val="0"/>
                <w:sz w:val="24"/>
              </w:rPr>
            </w:pPr>
            <w:r>
              <w:rPr>
                <w:rFonts w:hint="eastAsia" w:ascii="黑体" w:hAnsi="黑体" w:eastAsia="黑体" w:cs="黑体"/>
                <w:sz w:val="24"/>
              </w:rPr>
              <w:t>石门县三圣乡</w:t>
            </w:r>
          </w:p>
        </w:tc>
        <w:tc>
          <w:tcPr>
            <w:tcW w:w="2950" w:type="dxa"/>
          </w:tcPr>
          <w:p>
            <w:pPr>
              <w:ind w:firstLine="0" w:firstLineChars="0"/>
              <w:rPr>
                <w:rFonts w:ascii="黑体" w:hAnsi="黑体" w:eastAsia="黑体" w:cs="黑体"/>
                <w:sz w:val="24"/>
              </w:rPr>
            </w:pPr>
            <w:r>
              <w:rPr>
                <w:rFonts w:hint="eastAsia" w:ascii="黑体" w:hAnsi="黑体" w:eastAsia="黑体" w:cs="黑体"/>
                <w:sz w:val="24"/>
              </w:rPr>
              <w:t>石门县白云山林场</w:t>
            </w:r>
          </w:p>
        </w:tc>
      </w:tr>
    </w:tbl>
    <w:p>
      <w:pPr>
        <w:keepNext w:val="0"/>
        <w:keepLines w:val="0"/>
        <w:pageBreakBefore w:val="0"/>
        <w:widowControl/>
        <w:kinsoku/>
        <w:wordWrap/>
        <w:overflowPunct/>
        <w:topLinePunct w:val="0"/>
        <w:autoSpaceDE/>
        <w:autoSpaceDN/>
        <w:bidi w:val="0"/>
        <w:adjustRightInd/>
        <w:snapToGrid/>
        <w:spacing w:before="396" w:beforeLines="100" w:line="560" w:lineRule="exact"/>
        <w:ind w:firstLine="560"/>
        <w:jc w:val="left"/>
        <w:textAlignment w:val="auto"/>
        <w:rPr>
          <w:rFonts w:ascii="黑体" w:hAnsi="黑体" w:eastAsia="黑体" w:cs="黑体"/>
          <w:szCs w:val="28"/>
        </w:rPr>
      </w:pPr>
      <w:r>
        <w:rPr>
          <w:rFonts w:hint="eastAsia" w:ascii="黑体" w:hAnsi="黑体" w:eastAsia="黑体" w:cs="黑体"/>
          <w:color w:val="000000"/>
          <w:kern w:val="0"/>
          <w:szCs w:val="28"/>
          <w:lang w:bidi="ar"/>
        </w:rPr>
        <w:t>项目负责人：</w:t>
      </w:r>
      <w:r>
        <w:rPr>
          <w:rFonts w:hint="eastAsia" w:ascii="仿宋" w:hAnsi="仿宋" w:cs="仿宋"/>
          <w:color w:val="000000"/>
          <w:kern w:val="0"/>
          <w:szCs w:val="28"/>
          <w:lang w:bidi="ar"/>
        </w:rPr>
        <w:t xml:space="preserve">谢荣秀 </w:t>
      </w:r>
    </w:p>
    <w:p>
      <w:pPr>
        <w:widowControl/>
        <w:spacing w:line="560" w:lineRule="exact"/>
        <w:ind w:firstLine="560"/>
        <w:jc w:val="left"/>
        <w:rPr>
          <w:rFonts w:ascii="仿宋" w:hAnsi="仿宋" w:cs="仿宋"/>
          <w:color w:val="000000"/>
          <w:kern w:val="0"/>
          <w:szCs w:val="28"/>
          <w:lang w:bidi="ar"/>
        </w:rPr>
      </w:pPr>
      <w:r>
        <w:rPr>
          <w:rFonts w:hint="eastAsia" w:ascii="黑体" w:hAnsi="黑体" w:eastAsia="黑体" w:cs="黑体"/>
          <w:color w:val="000000"/>
          <w:kern w:val="0"/>
          <w:szCs w:val="28"/>
          <w:lang w:bidi="ar"/>
        </w:rPr>
        <w:t>执      笔：</w:t>
      </w:r>
      <w:r>
        <w:rPr>
          <w:rFonts w:hint="eastAsia" w:ascii="仿宋" w:hAnsi="仿宋" w:cs="仿宋"/>
          <w:color w:val="000000"/>
          <w:kern w:val="0"/>
          <w:szCs w:val="28"/>
          <w:lang w:bidi="ar"/>
        </w:rPr>
        <w:t xml:space="preserve">谢荣秀  </w:t>
      </w:r>
      <w:r>
        <w:rPr>
          <w:rFonts w:hint="eastAsia" w:cs="Times New Roman"/>
          <w:kern w:val="0"/>
          <w:szCs w:val="28"/>
        </w:rPr>
        <w:t>何功秀</w:t>
      </w:r>
      <w:r>
        <w:rPr>
          <w:rFonts w:hint="eastAsia" w:ascii="仿宋" w:hAnsi="仿宋" w:cs="仿宋"/>
          <w:color w:val="000000"/>
          <w:kern w:val="0"/>
          <w:szCs w:val="28"/>
          <w:lang w:bidi="ar"/>
        </w:rPr>
        <w:t xml:space="preserve">  陈  毅</w:t>
      </w:r>
    </w:p>
    <w:p>
      <w:pPr>
        <w:widowControl/>
        <w:spacing w:line="560" w:lineRule="exact"/>
        <w:ind w:firstLine="560"/>
        <w:jc w:val="left"/>
        <w:rPr>
          <w:rFonts w:ascii="仿宋" w:hAnsi="仿宋" w:cs="仿宋"/>
          <w:color w:val="000000"/>
          <w:kern w:val="0"/>
          <w:szCs w:val="28"/>
          <w:lang w:bidi="ar"/>
        </w:rPr>
      </w:pPr>
      <w:r>
        <w:rPr>
          <w:rFonts w:hint="eastAsia" w:ascii="黑体" w:hAnsi="黑体" w:eastAsia="黑体" w:cs="黑体"/>
          <w:color w:val="000000"/>
          <w:kern w:val="0"/>
          <w:szCs w:val="28"/>
          <w:lang w:bidi="ar"/>
        </w:rPr>
        <w:t>制      图：</w:t>
      </w:r>
      <w:r>
        <w:rPr>
          <w:rFonts w:hint="eastAsia" w:ascii="仿宋" w:hAnsi="仿宋" w:cs="仿宋"/>
          <w:color w:val="000000"/>
          <w:kern w:val="0"/>
          <w:szCs w:val="28"/>
          <w:lang w:bidi="ar"/>
        </w:rPr>
        <w:t>张  猛  陈  毅</w:t>
      </w:r>
    </w:p>
    <w:p>
      <w:pPr>
        <w:widowControl/>
        <w:spacing w:line="560" w:lineRule="exact"/>
        <w:ind w:firstLine="560"/>
        <w:jc w:val="left"/>
        <w:rPr>
          <w:rFonts w:ascii="黑体" w:hAnsi="黑体" w:eastAsia="黑体" w:cs="黑体"/>
          <w:color w:val="000000"/>
          <w:kern w:val="0"/>
          <w:szCs w:val="28"/>
          <w:lang w:bidi="ar"/>
        </w:rPr>
      </w:pPr>
      <w:r>
        <w:rPr>
          <w:rFonts w:hint="eastAsia" w:ascii="黑体" w:hAnsi="黑体" w:eastAsia="黑体" w:cs="黑体"/>
          <w:color w:val="000000"/>
          <w:kern w:val="0"/>
          <w:szCs w:val="28"/>
          <w:lang w:bidi="ar"/>
        </w:rPr>
        <w:t>审      核：</w:t>
      </w:r>
      <w:r>
        <w:rPr>
          <w:rFonts w:hint="eastAsia" w:ascii="仿宋" w:hAnsi="仿宋" w:cs="仿宋"/>
          <w:color w:val="000000"/>
          <w:kern w:val="0"/>
          <w:szCs w:val="28"/>
          <w:lang w:bidi="ar"/>
        </w:rPr>
        <w:t>王光军</w:t>
      </w:r>
    </w:p>
    <w:p>
      <w:pPr>
        <w:widowControl/>
        <w:spacing w:line="560" w:lineRule="exact"/>
        <w:ind w:firstLine="560"/>
        <w:jc w:val="left"/>
        <w:rPr>
          <w:rFonts w:ascii="仿宋" w:hAnsi="仿宋" w:cs="仿宋"/>
          <w:color w:val="000000"/>
          <w:kern w:val="0"/>
          <w:szCs w:val="28"/>
          <w:lang w:bidi="ar"/>
        </w:rPr>
      </w:pPr>
      <w:r>
        <w:rPr>
          <w:rFonts w:hint="eastAsia" w:ascii="黑体" w:hAnsi="黑体" w:eastAsia="黑体" w:cs="黑体"/>
          <w:color w:val="000000"/>
          <w:kern w:val="0"/>
          <w:szCs w:val="28"/>
          <w:lang w:bidi="ar"/>
        </w:rPr>
        <w:t>审      定：</w:t>
      </w:r>
      <w:r>
        <w:rPr>
          <w:rFonts w:hint="eastAsia" w:ascii="仿宋" w:hAnsi="仿宋" w:cs="仿宋"/>
          <w:color w:val="000000"/>
          <w:kern w:val="0"/>
          <w:szCs w:val="28"/>
          <w:lang w:bidi="ar"/>
        </w:rPr>
        <w:t>闫文德</w:t>
      </w:r>
    </w:p>
    <w:p>
      <w:pPr>
        <w:keepNext w:val="0"/>
        <w:keepLines w:val="0"/>
        <w:pageBreakBefore/>
        <w:widowControl/>
        <w:kinsoku/>
        <w:wordWrap/>
        <w:overflowPunct/>
        <w:topLinePunct w:val="0"/>
        <w:autoSpaceDE/>
        <w:autoSpaceDN/>
        <w:bidi w:val="0"/>
        <w:adjustRightInd/>
        <w:snapToGrid/>
        <w:spacing w:after="395" w:afterLines="100"/>
        <w:ind w:firstLine="0" w:firstLineChars="0"/>
        <w:jc w:val="center"/>
        <w:textAlignment w:val="auto"/>
        <w:outlineLvl w:val="0"/>
        <w:rPr>
          <w:rFonts w:ascii="黑体" w:hAnsi="黑体" w:eastAsia="黑体"/>
          <w:sz w:val="36"/>
          <w:szCs w:val="36"/>
        </w:rPr>
      </w:pPr>
      <w:bookmarkStart w:id="0" w:name="_Toc113925675"/>
      <w:bookmarkStart w:id="1" w:name="_Toc113925423"/>
      <w:bookmarkStart w:id="2" w:name="_Toc114084620"/>
      <w:bookmarkStart w:id="3" w:name="_Toc5404"/>
      <w:r>
        <w:rPr>
          <w:rFonts w:hint="eastAsia" w:ascii="黑体" w:hAnsi="黑体" w:eastAsia="黑体"/>
          <w:sz w:val="36"/>
          <w:szCs w:val="36"/>
        </w:rPr>
        <w:t>编制说明</w:t>
      </w:r>
      <w:bookmarkEnd w:id="0"/>
      <w:bookmarkEnd w:id="1"/>
      <w:bookmarkEnd w:id="2"/>
      <w:bookmarkEnd w:id="3"/>
    </w:p>
    <w:p>
      <w:pPr>
        <w:keepNext w:val="0"/>
        <w:keepLines w:val="0"/>
        <w:pageBreakBefore w:val="0"/>
        <w:widowControl w:val="0"/>
        <w:kinsoku/>
        <w:wordWrap/>
        <w:overflowPunct/>
        <w:topLinePunct w:val="0"/>
        <w:autoSpaceDE/>
        <w:autoSpaceDN/>
        <w:bidi w:val="0"/>
        <w:adjustRightInd/>
        <w:snapToGrid/>
        <w:ind w:firstLine="600"/>
        <w:textAlignment w:val="auto"/>
        <w:rPr>
          <w:rFonts w:ascii="黑体" w:hAnsi="黑体" w:eastAsia="黑体" w:cs="黑体"/>
          <w:sz w:val="30"/>
          <w:szCs w:val="30"/>
        </w:rPr>
      </w:pPr>
      <w:bookmarkStart w:id="4" w:name="_Toc113925676"/>
      <w:bookmarkStart w:id="5" w:name="_Toc25958"/>
      <w:bookmarkStart w:id="6" w:name="_Toc113925424"/>
      <w:bookmarkStart w:id="7" w:name="_Toc114084621"/>
      <w:r>
        <w:rPr>
          <w:rFonts w:hint="eastAsia" w:ascii="黑体" w:hAnsi="黑体" w:eastAsia="黑体" w:cs="黑体"/>
          <w:sz w:val="30"/>
          <w:szCs w:val="30"/>
        </w:rPr>
        <w:t>一、基本情况</w:t>
      </w:r>
      <w:bookmarkEnd w:id="4"/>
      <w:bookmarkEnd w:id="5"/>
      <w:bookmarkEnd w:id="6"/>
      <w:bookmarkEnd w:id="7"/>
    </w:p>
    <w:p>
      <w:pPr>
        <w:ind w:firstLine="560"/>
        <w:rPr>
          <w:rFonts w:cs="Times New Roman"/>
          <w:szCs w:val="28"/>
        </w:rPr>
      </w:pPr>
      <w:r>
        <w:rPr>
          <w:rFonts w:hint="eastAsia" w:cs="Times New Roman"/>
          <w:szCs w:val="28"/>
        </w:rPr>
        <w:t>湖南石门仙阳湖国家湿地公园（以</w:t>
      </w:r>
      <w:r>
        <w:rPr>
          <w:rFonts w:hint="eastAsia" w:ascii="仿宋" w:hAnsi="仿宋" w:cs="仿宋"/>
          <w:szCs w:val="28"/>
        </w:rPr>
        <w:t>下简称“仙阳湖国家湿地公园”或“湿地公园”）位于</w:t>
      </w:r>
      <w:r>
        <w:rPr>
          <w:rFonts w:hint="eastAsia" w:cs="Times New Roman"/>
          <w:szCs w:val="28"/>
        </w:rPr>
        <w:t>湖南省常德市石门县。湿地公园沿渫水自西向东方向呈带状排列，范围包括仙阳湖、渫水及周边一定范围内的水源涵养林，以及河洲漫滩和周边部分山地，原规划总面积</w:t>
      </w:r>
      <w:r>
        <w:rPr>
          <w:rFonts w:cs="Times New Roman"/>
          <w:szCs w:val="28"/>
        </w:rPr>
        <w:t>7946.6</w:t>
      </w:r>
      <w:r>
        <w:rPr>
          <w:rFonts w:hint="eastAsia" w:cs="Times New Roman"/>
          <w:szCs w:val="28"/>
        </w:rPr>
        <w:t>公顷，落图面积7</w:t>
      </w:r>
      <w:r>
        <w:rPr>
          <w:rFonts w:cs="Times New Roman"/>
          <w:szCs w:val="28"/>
        </w:rPr>
        <w:t>944.52</w:t>
      </w:r>
      <w:r>
        <w:rPr>
          <w:rFonts w:hint="eastAsia" w:cs="Times New Roman"/>
          <w:szCs w:val="28"/>
        </w:rPr>
        <w:t>公顷，修编后规划总面积</w:t>
      </w:r>
      <w:r>
        <w:rPr>
          <w:rFonts w:cs="Times New Roman"/>
          <w:szCs w:val="28"/>
        </w:rPr>
        <w:t>9386.58</w:t>
      </w:r>
      <w:r>
        <w:rPr>
          <w:rFonts w:hint="eastAsia" w:cs="Times New Roman"/>
          <w:szCs w:val="28"/>
        </w:rPr>
        <w:t>公顷。仙阳湖是湘西北最大的人工湖，地处我国候鸟三大迁徙路线中线湖南段的重要节点，是众多迁徙水禽的重要停歇地和觅食场，湿地公园的建设对于有效保护湿地生物的栖息环境和生物多样性，提高水禽栖息地质量，保障我国候鸟中线迁徙路线的生态安全具有重要的战略意义。</w:t>
      </w:r>
    </w:p>
    <w:p>
      <w:pPr>
        <w:ind w:firstLine="560"/>
        <w:rPr>
          <w:rFonts w:cs="Times New Roman"/>
          <w:szCs w:val="28"/>
        </w:rPr>
      </w:pPr>
      <w:r>
        <w:rPr>
          <w:rFonts w:cs="Times New Roman"/>
          <w:szCs w:val="28"/>
        </w:rPr>
        <w:t>2014</w:t>
      </w:r>
      <w:r>
        <w:rPr>
          <w:rFonts w:hint="eastAsia" w:cs="Times New Roman"/>
          <w:szCs w:val="28"/>
        </w:rPr>
        <w:t>年1</w:t>
      </w:r>
      <w:r>
        <w:rPr>
          <w:rFonts w:cs="Times New Roman"/>
          <w:szCs w:val="28"/>
        </w:rPr>
        <w:t>2</w:t>
      </w:r>
      <w:r>
        <w:rPr>
          <w:rFonts w:hint="eastAsia" w:cs="Times New Roman"/>
          <w:szCs w:val="28"/>
        </w:rPr>
        <w:t>月，国家林</w:t>
      </w:r>
      <w:r>
        <w:rPr>
          <w:rFonts w:hint="eastAsia" w:ascii="仿宋" w:hAnsi="仿宋" w:cs="仿宋"/>
          <w:szCs w:val="28"/>
        </w:rPr>
        <w:t>业和草原局（原“国家林业局”，以下简称“国家林草局”）印发《国家林业</w:t>
      </w:r>
      <w:r>
        <w:rPr>
          <w:rFonts w:hint="eastAsia" w:cs="Times New Roman"/>
          <w:szCs w:val="28"/>
        </w:rPr>
        <w:t>局关于同意北京房山长沟泉水等1</w:t>
      </w:r>
      <w:r>
        <w:rPr>
          <w:rFonts w:cs="Times New Roman"/>
          <w:szCs w:val="28"/>
        </w:rPr>
        <w:t>40</w:t>
      </w:r>
      <w:r>
        <w:rPr>
          <w:rFonts w:hint="eastAsia" w:cs="Times New Roman"/>
          <w:szCs w:val="28"/>
        </w:rPr>
        <w:t>处湿地开展国家湿地公园试点工作的通知》（林湿发〔20</w:t>
      </w:r>
      <w:r>
        <w:rPr>
          <w:rFonts w:cs="Times New Roman"/>
          <w:szCs w:val="28"/>
        </w:rPr>
        <w:t>14</w:t>
      </w:r>
      <w:r>
        <w:rPr>
          <w:rFonts w:hint="eastAsia" w:cs="Times New Roman"/>
          <w:szCs w:val="28"/>
        </w:rPr>
        <w:t>〕2</w:t>
      </w:r>
      <w:r>
        <w:rPr>
          <w:rFonts w:cs="Times New Roman"/>
          <w:szCs w:val="28"/>
        </w:rPr>
        <w:t>05</w:t>
      </w:r>
      <w:r>
        <w:rPr>
          <w:rFonts w:hint="eastAsia" w:cs="Times New Roman"/>
          <w:szCs w:val="28"/>
        </w:rPr>
        <w:t>号），批准仙阳湖国家湿地公园进行国家湿地公园试点建设</w:t>
      </w:r>
      <w:r>
        <w:rPr>
          <w:rFonts w:hint="eastAsia" w:cs="Times New Roman"/>
          <w:szCs w:val="28"/>
          <w:lang w:eastAsia="zh-CN"/>
        </w:rPr>
        <w:t>。</w:t>
      </w:r>
      <w:r>
        <w:rPr>
          <w:rFonts w:hint="eastAsia" w:ascii="Times New Roman" w:hAnsi="Times New Roman" w:eastAsia="仿宋" w:cs="Times New Roman"/>
          <w:sz w:val="28"/>
          <w:szCs w:val="22"/>
          <w:lang w:val="en-US" w:eastAsia="zh-CN" w:bidi="ar"/>
        </w:rPr>
        <w:t>2020年</w:t>
      </w:r>
      <w:r>
        <w:rPr>
          <w:rFonts w:hint="eastAsia" w:cs="Times New Roman"/>
          <w:sz w:val="28"/>
          <w:szCs w:val="22"/>
          <w:lang w:val="en-US" w:eastAsia="zh-CN" w:bidi="ar"/>
        </w:rPr>
        <w:t>12月</w:t>
      </w:r>
      <w:r>
        <w:rPr>
          <w:rFonts w:hint="eastAsia" w:ascii="Times New Roman" w:hAnsi="Times New Roman" w:eastAsia="仿宋" w:cs="Times New Roman"/>
          <w:sz w:val="28"/>
          <w:szCs w:val="22"/>
          <w:lang w:val="en-US" w:eastAsia="zh-CN" w:bidi="ar"/>
        </w:rPr>
        <w:t>通过国家林草局验收，并以</w:t>
      </w:r>
      <w:r>
        <w:rPr>
          <w:rFonts w:hint="eastAsia" w:ascii="Times New Roman" w:hAnsi="Times New Roman" w:eastAsia="仿宋" w:cs="Times New Roman"/>
          <w:sz w:val="28"/>
          <w:szCs w:val="22"/>
          <w:lang w:bidi="ar"/>
        </w:rPr>
        <w:t>《国家林业和草原局关于2020年国家湿地公园试点验收结果的通知》（林湿发〔2020〕119号）</w:t>
      </w:r>
      <w:r>
        <w:rPr>
          <w:rFonts w:hint="default" w:ascii="Times New Roman" w:hAnsi="Times New Roman" w:eastAsia="仿宋" w:cs="Times New Roman"/>
          <w:sz w:val="28"/>
          <w:szCs w:val="22"/>
          <w:lang w:bidi="ar"/>
        </w:rPr>
        <w:t>正式批准为国家湿地公园。</w:t>
      </w:r>
      <w:r>
        <w:rPr>
          <w:rFonts w:hint="eastAsia" w:cs="Times New Roman"/>
          <w:szCs w:val="28"/>
        </w:rPr>
        <w:t>试点建设</w:t>
      </w:r>
      <w:r>
        <w:rPr>
          <w:rFonts w:cs="Times New Roman"/>
          <w:szCs w:val="28"/>
        </w:rPr>
        <w:t>8</w:t>
      </w:r>
      <w:r>
        <w:rPr>
          <w:rFonts w:hint="eastAsia" w:cs="Times New Roman"/>
          <w:szCs w:val="28"/>
        </w:rPr>
        <w:t>年以来，仙阳湖国家湿地公园管理处按照总体规划和国家湿地公园试点建设的要求，开展了项目建设，在湿地公园保护与建设方面取得了一定的成就，同时也发现了一些问题。近年来，国家林草局相继出台了</w:t>
      </w:r>
      <w:r>
        <w:rPr>
          <w:rFonts w:hint="eastAsia" w:ascii="Times New Roman" w:hAnsi="Times New Roman" w:eastAsia="仿宋"/>
          <w:kern w:val="21"/>
          <w:sz w:val="28"/>
          <w:szCs w:val="28"/>
          <w:lang w:eastAsia="zh-CN"/>
        </w:rPr>
        <w:t>《国家级自然公园管理办法（试行）》</w:t>
      </w:r>
      <w:r>
        <w:rPr>
          <w:rFonts w:hint="eastAsia" w:ascii="Times New Roman" w:hAnsi="Times New Roman"/>
          <w:kern w:val="21"/>
          <w:sz w:val="28"/>
          <w:szCs w:val="28"/>
          <w:lang w:eastAsia="zh-CN"/>
        </w:rPr>
        <w:t>、</w:t>
      </w:r>
      <w:r>
        <w:rPr>
          <w:rFonts w:hint="eastAsia" w:cs="Times New Roman"/>
          <w:szCs w:val="28"/>
        </w:rPr>
        <w:t>《国家湿地公园总体规划编制导则》以及建设规范、评估标准等一系列政策法规，尤其是于2018年1月9日，国家林草局湿地保护管理中心印发了《湿地公园总体规划导则》（林湿综地〔2018〕1号），为国家湿地公园总体规划的编制工作提供了依据。</w:t>
      </w:r>
    </w:p>
    <w:p>
      <w:pPr>
        <w:widowControl/>
        <w:ind w:firstLine="560"/>
        <w:rPr>
          <w:rFonts w:cs="Times New Roman"/>
          <w:szCs w:val="28"/>
        </w:rPr>
      </w:pPr>
      <w:r>
        <w:rPr>
          <w:rFonts w:hint="eastAsia" w:cs="Times New Roman"/>
          <w:szCs w:val="28"/>
          <w:lang w:bidi="ar"/>
        </w:rPr>
        <w:t>2019年6月，中办、国办印发《关于建立以国家公园为主体的自然保护地体系的指导意见》，提出到2025年完成自然保护地整合归并优化工作。2020年3月，自然资源部和国家林草局启动了自然保护地整合优化工作，按照“保护面积不减少、保护强度不降低、保护性质不改变”的原则，对交叉重叠、相邻相近的自然保护地进行归并整合，对边界范围和功能分区进行合理调整，实事求是解决历史遗留问题，并与生态保护红线划定相衔接。2020年石门县人民政府完成了石门县自然保护地整合优化预案，2023年3月石门县人民政府对石门县自然保护地整合优化方案进行了公示。</w:t>
      </w:r>
      <w:r>
        <w:rPr>
          <w:rFonts w:hint="eastAsia" w:cs="Times New Roman"/>
        </w:rPr>
        <w:t>根据自然保护地整合优化要求，湖南石门仙阳湖国家湿地公园进行了相应的调整，原</w:t>
      </w:r>
      <w:r>
        <w:rPr>
          <w:rFonts w:ascii="仿宋" w:hAnsi="仿宋" w:cs="仿宋"/>
          <w:color w:val="000000"/>
          <w:kern w:val="0"/>
          <w:szCs w:val="28"/>
          <w:lang w:bidi="ar"/>
        </w:rPr>
        <w:t>批复总面积</w:t>
      </w:r>
      <w:r>
        <w:rPr>
          <w:rFonts w:hint="eastAsia" w:cs="Times New Roman"/>
          <w:szCs w:val="28"/>
          <w:lang w:bidi="ar"/>
        </w:rPr>
        <w:t>7946.60</w:t>
      </w:r>
      <w:r>
        <w:rPr>
          <w:rFonts w:hint="eastAsia" w:ascii="仿宋" w:hAnsi="仿宋" w:cs="仿宋"/>
          <w:color w:val="000000"/>
          <w:kern w:val="0"/>
          <w:szCs w:val="28"/>
          <w:lang w:bidi="ar"/>
        </w:rPr>
        <w:t>公顷，</w:t>
      </w:r>
      <w:r>
        <w:rPr>
          <w:rFonts w:ascii="仿宋" w:hAnsi="仿宋" w:cs="仿宋"/>
          <w:color w:val="000000"/>
          <w:kern w:val="0"/>
          <w:szCs w:val="28"/>
          <w:lang w:bidi="ar"/>
        </w:rPr>
        <w:t>矢量核算面积</w:t>
      </w:r>
      <w:r>
        <w:rPr>
          <w:rFonts w:hint="eastAsia" w:eastAsia="宋体" w:cs="Times New Roman"/>
          <w:color w:val="000000"/>
          <w:kern w:val="0"/>
          <w:szCs w:val="28"/>
          <w:lang w:bidi="ar"/>
        </w:rPr>
        <w:t>7944.52</w:t>
      </w:r>
      <w:r>
        <w:rPr>
          <w:rFonts w:hint="eastAsia" w:ascii="仿宋" w:hAnsi="仿宋" w:cs="仿宋"/>
          <w:color w:val="000000"/>
          <w:kern w:val="0"/>
          <w:szCs w:val="28"/>
          <w:lang w:bidi="ar"/>
        </w:rPr>
        <w:t>公顷</w:t>
      </w:r>
      <w:r>
        <w:rPr>
          <w:rFonts w:hint="eastAsia"/>
        </w:rPr>
        <w:t>，</w:t>
      </w:r>
      <w:r>
        <w:rPr>
          <w:rFonts w:hint="eastAsia" w:cs="Times New Roman"/>
        </w:rPr>
        <w:t>自然保护地整合优化方案成果</w:t>
      </w:r>
      <w:r>
        <w:rPr>
          <w:rFonts w:hint="eastAsia" w:cs="Times New Roman"/>
          <w:szCs w:val="28"/>
          <w:lang w:bidi="ar"/>
        </w:rPr>
        <w:t>面积9386.58公顷</w:t>
      </w:r>
      <w:r>
        <w:rPr>
          <w:rFonts w:hint="eastAsia" w:ascii="仿宋" w:hAnsi="仿宋" w:cs="仿宋"/>
          <w:color w:val="000000"/>
          <w:kern w:val="0"/>
          <w:szCs w:val="28"/>
          <w:lang w:bidi="ar"/>
        </w:rPr>
        <w:t>。</w:t>
      </w:r>
      <w:r>
        <w:rPr>
          <w:rFonts w:hint="eastAsia" w:cs="Times New Roman"/>
          <w:szCs w:val="28"/>
        </w:rPr>
        <w:t>《湖南石门仙阳湖国家湿地公园总体规划》于20</w:t>
      </w:r>
      <w:r>
        <w:rPr>
          <w:rFonts w:cs="Times New Roman"/>
          <w:szCs w:val="28"/>
        </w:rPr>
        <w:t>14</w:t>
      </w:r>
      <w:r>
        <w:rPr>
          <w:rFonts w:hint="eastAsia" w:cs="Times New Roman"/>
          <w:szCs w:val="28"/>
        </w:rPr>
        <w:t>年完成，湿地公园的功能区划与导则存在差异，区划为保育区、恢复重建区、宣教展示区、合理利用区、管理服务区五大功能区。此外，原湿地公园将乡镇村部分建成区、人为活动密集区域等纳入湿地公园范围内，导致区域内水、电、道路、房屋等基础设施建设受到国家湿地公园有关管理制度的制约，当地居民的生产和生活受到一定影响。同时，原规划与《常德市土地利用总体规划（2006~2020年》、《湖南省石门县县城总体规划（20</w:t>
      </w:r>
      <w:r>
        <w:rPr>
          <w:rFonts w:cs="Times New Roman"/>
          <w:szCs w:val="28"/>
        </w:rPr>
        <w:t>13</w:t>
      </w:r>
      <w:r>
        <w:rPr>
          <w:rFonts w:hint="eastAsia" w:cs="Times New Roman"/>
          <w:szCs w:val="28"/>
        </w:rPr>
        <w:t>~2020年）》、《石门县土地利用总体规划（2006~2020年）》存在冲突，制约着当地经济可持续发展，也不利于湿地公园的管理。</w:t>
      </w:r>
    </w:p>
    <w:p>
      <w:pPr>
        <w:ind w:firstLine="560"/>
        <w:rPr>
          <w:rFonts w:cs="Times New Roman"/>
          <w:szCs w:val="28"/>
        </w:rPr>
      </w:pPr>
      <w:r>
        <w:rPr>
          <w:rFonts w:hint="eastAsia" w:cs="Times New Roman"/>
          <w:szCs w:val="28"/>
          <w:lang w:bidi="ar"/>
        </w:rPr>
        <w:t>为进一步巩固自然保护地整合优化成果，同时考虑到《湖南石门仙阳湖国家湿地公园总体规划（2014-2020年）》已经到期。</w:t>
      </w:r>
      <w:r>
        <w:rPr>
          <w:rFonts w:cs="Times New Roman"/>
          <w:szCs w:val="28"/>
          <w:highlight w:val="none"/>
        </w:rPr>
        <w:t>202</w:t>
      </w:r>
      <w:r>
        <w:rPr>
          <w:rFonts w:hint="eastAsia" w:cs="Times New Roman"/>
          <w:szCs w:val="28"/>
          <w:highlight w:val="none"/>
        </w:rPr>
        <w:t>1年</w:t>
      </w:r>
      <w:r>
        <w:rPr>
          <w:rFonts w:cs="Times New Roman"/>
          <w:szCs w:val="28"/>
          <w:highlight w:val="none"/>
        </w:rPr>
        <w:t>9</w:t>
      </w:r>
      <w:r>
        <w:rPr>
          <w:rFonts w:hint="eastAsia" w:cs="Times New Roman"/>
          <w:szCs w:val="28"/>
          <w:highlight w:val="none"/>
        </w:rPr>
        <w:t>月，石门县人民政府向湖南省林业局提出申请，请求对《湖南石门仙阳湖国家湿地公园总体规划》进行修编，</w:t>
      </w:r>
      <w:r>
        <w:rPr>
          <w:rFonts w:cs="Times New Roman"/>
          <w:szCs w:val="28"/>
          <w:highlight w:val="none"/>
        </w:rPr>
        <w:t>202</w:t>
      </w:r>
      <w:r>
        <w:rPr>
          <w:rFonts w:cs="Times New Roman"/>
          <w:szCs w:val="28"/>
        </w:rPr>
        <w:t>2</w:t>
      </w:r>
      <w:r>
        <w:rPr>
          <w:rFonts w:hint="eastAsia" w:cs="Times New Roman"/>
          <w:szCs w:val="28"/>
        </w:rPr>
        <w:t>年</w:t>
      </w:r>
      <w:r>
        <w:rPr>
          <w:rFonts w:cs="Times New Roman"/>
          <w:szCs w:val="28"/>
        </w:rPr>
        <w:t>3</w:t>
      </w:r>
      <w:r>
        <w:rPr>
          <w:rFonts w:hint="eastAsia" w:cs="Times New Roman"/>
          <w:szCs w:val="28"/>
        </w:rPr>
        <w:t>月至</w:t>
      </w:r>
      <w:r>
        <w:rPr>
          <w:rFonts w:cs="Times New Roman"/>
          <w:szCs w:val="28"/>
        </w:rPr>
        <w:t>2022</w:t>
      </w:r>
      <w:r>
        <w:rPr>
          <w:rFonts w:hint="eastAsia" w:cs="Times New Roman"/>
          <w:szCs w:val="28"/>
        </w:rPr>
        <w:t>年</w:t>
      </w:r>
      <w:r>
        <w:rPr>
          <w:rFonts w:cs="Times New Roman"/>
          <w:szCs w:val="28"/>
        </w:rPr>
        <w:t>9</w:t>
      </w:r>
      <w:r>
        <w:rPr>
          <w:rFonts w:hint="eastAsia" w:cs="Times New Roman"/>
          <w:szCs w:val="28"/>
        </w:rPr>
        <w:t>月，湿地公园规划修编单位中南林业科技大学安排工程技术人员到湿地公园进行了多次现场调查、考察、座谈，在实地调研的基础上充分尊重建设单位的意见，严格按照国家林草局</w:t>
      </w:r>
      <w:r>
        <w:rPr>
          <w:rFonts w:hint="eastAsia" w:ascii="Times New Roman" w:hAnsi="Times New Roman" w:eastAsia="仿宋"/>
          <w:kern w:val="21"/>
          <w:sz w:val="28"/>
          <w:szCs w:val="28"/>
          <w:lang w:eastAsia="zh-CN"/>
        </w:rPr>
        <w:t>《国家级自然公园管理办法（试行）》</w:t>
      </w:r>
      <w:r>
        <w:rPr>
          <w:rFonts w:hint="eastAsia" w:ascii="Times New Roman" w:hAnsi="Times New Roman"/>
          <w:kern w:val="21"/>
          <w:sz w:val="28"/>
          <w:szCs w:val="28"/>
          <w:lang w:eastAsia="zh-CN"/>
        </w:rPr>
        <w:t>、</w:t>
      </w:r>
      <w:r>
        <w:rPr>
          <w:rFonts w:hint="eastAsia" w:cs="Times New Roman"/>
          <w:szCs w:val="28"/>
        </w:rPr>
        <w:t>《湿</w:t>
      </w:r>
      <w:bookmarkStart w:id="815" w:name="_GoBack"/>
      <w:bookmarkEnd w:id="815"/>
      <w:r>
        <w:rPr>
          <w:rFonts w:hint="eastAsia" w:cs="Times New Roman"/>
          <w:szCs w:val="28"/>
        </w:rPr>
        <w:t>地公园总体规划导则》的要求进行了修编。</w:t>
      </w:r>
    </w:p>
    <w:p>
      <w:pPr>
        <w:ind w:firstLine="560"/>
        <w:rPr>
          <w:rFonts w:cs="Times New Roman"/>
          <w:szCs w:val="28"/>
        </w:rPr>
      </w:pPr>
      <w:r>
        <w:rPr>
          <w:rFonts w:hint="eastAsia" w:cs="Times New Roman"/>
          <w:szCs w:val="28"/>
        </w:rPr>
        <w:t>修编后湿地公园总面积由</w:t>
      </w:r>
      <w:r>
        <w:rPr>
          <w:rFonts w:cs="Times New Roman"/>
          <w:szCs w:val="28"/>
        </w:rPr>
        <w:t>7944.52</w:t>
      </w:r>
      <w:r>
        <w:rPr>
          <w:rFonts w:hint="eastAsia" w:cs="Times New Roman"/>
          <w:szCs w:val="28"/>
        </w:rPr>
        <w:t>公顷</w:t>
      </w:r>
      <w:r>
        <w:rPr>
          <w:rFonts w:hint="eastAsia" w:cs="Times New Roman"/>
          <w:szCs w:val="28"/>
          <w:lang w:eastAsia="zh-CN"/>
        </w:rPr>
        <w:t>调整为</w:t>
      </w:r>
      <w:r>
        <w:rPr>
          <w:rFonts w:hint="eastAsia" w:cs="Times New Roman"/>
        </w:rPr>
        <w:t>自然保护地整合优化方案成果</w:t>
      </w:r>
      <w:r>
        <w:rPr>
          <w:rFonts w:hint="eastAsia" w:cs="Times New Roman"/>
          <w:szCs w:val="28"/>
          <w:lang w:bidi="ar"/>
        </w:rPr>
        <w:t>面积9386.58公顷</w:t>
      </w:r>
      <w:r>
        <w:rPr>
          <w:rFonts w:hint="eastAsia" w:cs="Times New Roman"/>
          <w:szCs w:val="28"/>
        </w:rPr>
        <w:t>，增加了</w:t>
      </w:r>
      <w:r>
        <w:rPr>
          <w:rFonts w:cs="Times New Roman"/>
          <w:szCs w:val="28"/>
        </w:rPr>
        <w:t>1442.06</w:t>
      </w:r>
      <w:r>
        <w:rPr>
          <w:rFonts w:hint="eastAsia" w:cs="Times New Roman"/>
          <w:szCs w:val="28"/>
        </w:rPr>
        <w:t>公顷，对湿地公园的各功能区进行了优化微调整，对其发展方向根据新的导则要求进行了新的目标定位，规划文本由原来的</w:t>
      </w:r>
      <w:r>
        <w:rPr>
          <w:rFonts w:cs="Times New Roman"/>
          <w:szCs w:val="28"/>
        </w:rPr>
        <w:t>17</w:t>
      </w:r>
      <w:r>
        <w:rPr>
          <w:rFonts w:hint="eastAsia" w:cs="Times New Roman"/>
          <w:szCs w:val="28"/>
        </w:rPr>
        <w:t>章缩减至15章，部分建设项目进行</w:t>
      </w:r>
      <w:r>
        <w:rPr>
          <w:rFonts w:hint="eastAsia" w:cs="Times New Roman"/>
          <w:szCs w:val="28"/>
          <w:lang w:eastAsia="zh-CN"/>
        </w:rPr>
        <w:t>了</w:t>
      </w:r>
      <w:r>
        <w:rPr>
          <w:rFonts w:hint="eastAsia" w:cs="Times New Roman"/>
          <w:szCs w:val="28"/>
        </w:rPr>
        <w:t>优化</w:t>
      </w:r>
      <w:r>
        <w:rPr>
          <w:rFonts w:hint="eastAsia" w:cs="Times New Roman"/>
          <w:szCs w:val="28"/>
          <w:lang w:eastAsia="zh-CN"/>
        </w:rPr>
        <w:t>和</w:t>
      </w:r>
      <w:r>
        <w:rPr>
          <w:rFonts w:hint="eastAsia" w:cs="Times New Roman"/>
          <w:szCs w:val="28"/>
        </w:rPr>
        <w:t>合理布局。</w:t>
      </w:r>
    </w:p>
    <w:p>
      <w:pPr>
        <w:spacing w:before="197" w:beforeLines="50"/>
        <w:ind w:firstLine="600"/>
        <w:rPr>
          <w:rFonts w:ascii="黑体" w:hAnsi="黑体" w:eastAsia="黑体" w:cs="黑体"/>
          <w:sz w:val="30"/>
          <w:szCs w:val="30"/>
        </w:rPr>
      </w:pPr>
      <w:bookmarkStart w:id="8" w:name="_Toc28012"/>
      <w:bookmarkStart w:id="9" w:name="_Toc113925425"/>
      <w:bookmarkStart w:id="10" w:name="_Toc114084622"/>
      <w:bookmarkStart w:id="11" w:name="_Toc113925677"/>
      <w:r>
        <w:rPr>
          <w:rFonts w:hint="eastAsia" w:ascii="黑体" w:hAnsi="黑体" w:eastAsia="黑体" w:cs="黑体"/>
          <w:sz w:val="30"/>
          <w:szCs w:val="30"/>
        </w:rPr>
        <w:t>二、修编的必要性</w:t>
      </w:r>
      <w:bookmarkEnd w:id="8"/>
      <w:bookmarkEnd w:id="9"/>
      <w:bookmarkEnd w:id="10"/>
      <w:bookmarkEnd w:id="11"/>
    </w:p>
    <w:p>
      <w:pPr>
        <w:ind w:firstLine="562"/>
        <w:rPr>
          <w:rFonts w:cs="Times New Roman"/>
          <w:b/>
          <w:bCs/>
          <w:szCs w:val="28"/>
        </w:rPr>
      </w:pPr>
      <w:r>
        <w:rPr>
          <w:rFonts w:cs="Times New Roman"/>
          <w:b/>
          <w:bCs/>
          <w:szCs w:val="28"/>
        </w:rPr>
        <w:t xml:space="preserve">1. </w:t>
      </w:r>
      <w:r>
        <w:rPr>
          <w:rFonts w:hint="eastAsia" w:cs="Times New Roman"/>
          <w:b/>
          <w:bCs/>
          <w:szCs w:val="28"/>
        </w:rPr>
        <w:t>是湿地公园建设与当地社会协调发展的需要</w:t>
      </w:r>
    </w:p>
    <w:p>
      <w:pPr>
        <w:ind w:firstLine="560"/>
        <w:rPr>
          <w:rFonts w:cs="Times New Roman"/>
          <w:szCs w:val="28"/>
        </w:rPr>
      </w:pPr>
      <w:r>
        <w:rPr>
          <w:rFonts w:hint="eastAsia" w:cs="Times New Roman"/>
          <w:szCs w:val="28"/>
        </w:rPr>
        <w:t>湿地公园的建设宗旨在于保护好湿地生态系统和生物多样性，并通过适度的科普宣教、科研监测和合理利用，提高湿地的功能，发挥湿地的价值。原总体规划的公园范围内的部分功能布局，与当地的城市总体规划、土地利用总体规划等存在一定的矛盾和不一致性，影响湿地公园保护管理，其开展和从事的相关活动与湿地公园主体功能不吻合，从而无法发挥湿地公园的相关功能。因此，有必要将这些地块从湿地公园范围中调出，才能有利于仙阳湖国家湿地公园的科学管理和长远发展。</w:t>
      </w:r>
    </w:p>
    <w:p>
      <w:pPr>
        <w:ind w:firstLine="560"/>
        <w:rPr>
          <w:rFonts w:cs="Times New Roman"/>
          <w:szCs w:val="28"/>
        </w:rPr>
      </w:pPr>
      <w:r>
        <w:rPr>
          <w:rFonts w:hint="eastAsia" w:cs="Times New Roman"/>
          <w:szCs w:val="28"/>
        </w:rPr>
        <w:t>随着我国对湿地资源的保护越来越重视，2008年1月24日，国家林</w:t>
      </w:r>
      <w:r>
        <w:rPr>
          <w:rFonts w:hint="eastAsia" w:cs="Times New Roman"/>
          <w:szCs w:val="28"/>
          <w:lang w:eastAsia="zh-CN"/>
        </w:rPr>
        <w:t>草</w:t>
      </w:r>
      <w:r>
        <w:rPr>
          <w:rFonts w:hint="eastAsia" w:cs="Times New Roman"/>
          <w:szCs w:val="28"/>
        </w:rPr>
        <w:t>局召开“全国湿地与野生动植物保护管理工作会议”，提出以生态文明理念强化湿地保护工作，推进湿地公园健康有序地发展。随后相继出来了一系列完整、严格的技术规程规范、标准和管理办法，</w:t>
      </w:r>
      <w:r>
        <w:rPr>
          <w:rFonts w:hint="eastAsia" w:cs="Times New Roman"/>
          <w:szCs w:val="28"/>
          <w:lang w:eastAsia="zh-CN"/>
        </w:rPr>
        <w:t>其中有</w:t>
      </w:r>
      <w:r>
        <w:rPr>
          <w:rFonts w:hint="eastAsia" w:ascii="Times New Roman" w:hAnsi="Times New Roman" w:eastAsia="仿宋"/>
          <w:kern w:val="21"/>
          <w:sz w:val="28"/>
          <w:szCs w:val="28"/>
          <w:lang w:eastAsia="zh-CN"/>
        </w:rPr>
        <w:t>《国家级自然公园管理办法（试行）》</w:t>
      </w:r>
      <w:r>
        <w:rPr>
          <w:rFonts w:hint="eastAsia" w:cs="Times New Roman"/>
          <w:szCs w:val="28"/>
          <w:lang w:eastAsia="zh-CN"/>
        </w:rPr>
        <w:t>（</w:t>
      </w:r>
      <w:r>
        <w:rPr>
          <w:rFonts w:hint="eastAsia" w:cs="Times New Roman"/>
          <w:szCs w:val="28"/>
        </w:rPr>
        <w:t>林</w:t>
      </w:r>
      <w:r>
        <w:rPr>
          <w:rFonts w:hint="eastAsia" w:cs="Times New Roman"/>
          <w:szCs w:val="28"/>
          <w:lang w:eastAsia="zh-CN"/>
        </w:rPr>
        <w:t>保规</w:t>
      </w:r>
      <w:r>
        <w:rPr>
          <w:rFonts w:hint="eastAsia" w:cs="Times New Roman"/>
          <w:szCs w:val="28"/>
        </w:rPr>
        <w:t>〔202</w:t>
      </w:r>
      <w:r>
        <w:rPr>
          <w:rFonts w:hint="eastAsia" w:cs="Times New Roman"/>
          <w:szCs w:val="28"/>
          <w:lang w:val="en-US" w:eastAsia="zh-CN"/>
        </w:rPr>
        <w:t>3</w:t>
      </w:r>
      <w:r>
        <w:rPr>
          <w:rFonts w:hint="eastAsia" w:cs="Times New Roman"/>
          <w:szCs w:val="28"/>
        </w:rPr>
        <w:t>〕</w:t>
      </w:r>
      <w:r>
        <w:rPr>
          <w:rFonts w:hint="eastAsia" w:cs="Times New Roman"/>
          <w:szCs w:val="28"/>
          <w:lang w:val="en-US" w:eastAsia="zh-CN"/>
        </w:rPr>
        <w:t>4</w:t>
      </w:r>
      <w:r>
        <w:rPr>
          <w:rFonts w:hint="eastAsia" w:cs="Times New Roman"/>
          <w:szCs w:val="28"/>
        </w:rPr>
        <w:t>号</w:t>
      </w:r>
      <w:r>
        <w:rPr>
          <w:rFonts w:hint="eastAsia" w:cs="Times New Roman"/>
          <w:szCs w:val="28"/>
          <w:lang w:eastAsia="zh-CN"/>
        </w:rPr>
        <w:t>）、</w:t>
      </w:r>
      <w:r>
        <w:rPr>
          <w:rFonts w:hint="eastAsia" w:cs="Times New Roman"/>
          <w:szCs w:val="28"/>
        </w:rPr>
        <w:t>《国家湿地公园管理办法》（林湿规〔2022〕3号）</w:t>
      </w:r>
      <w:r>
        <w:rPr>
          <w:rFonts w:hint="eastAsia" w:cs="Times New Roman"/>
          <w:szCs w:val="28"/>
          <w:lang w:eastAsia="zh-CN"/>
        </w:rPr>
        <w:t>、</w:t>
      </w:r>
      <w:r>
        <w:rPr>
          <w:rFonts w:hint="eastAsia" w:cs="Times New Roman"/>
          <w:szCs w:val="28"/>
        </w:rPr>
        <w:t>《湿地公园总体规划导则》（林湿发〔2018〕1号）、《国家湿地公园评估评分标准》（林湿综字〔2018〕2号）</w:t>
      </w:r>
      <w:r>
        <w:rPr>
          <w:rFonts w:hint="eastAsia" w:cs="Times New Roman"/>
          <w:szCs w:val="28"/>
          <w:lang w:eastAsia="zh-CN"/>
        </w:rPr>
        <w:t>等</w:t>
      </w:r>
      <w:r>
        <w:rPr>
          <w:rFonts w:hint="eastAsia" w:cs="Times New Roman"/>
          <w:szCs w:val="28"/>
        </w:rPr>
        <w:t>。在习近平新时代中国特色社会主义思想的指导下，生态文明建设摆在了前所未有的高度，地方各级党委政府将生态文明建设纳入重点建设工程。因此，被划入仙阳湖国家湿地公园范围的城市建成区和规划区、建制镇、人口聚集区、产权建筑内最基本的基础设施，如水、电、道路、房屋等建设，受到与国家湿地公园有关管理制度的限制，该范围内居民的生产和生活也受到一定程度的影响，束缚了当地经济的发展，制约当地贫困人口脱贫，为促进区域社会发展与湿地公园湿地保护和恢复工作相协调，很有必要对湿地公园范围进行必要调整，这是给当地必要的城市和村镇基础设施建设释放一定空间的需要，同时也是缓解湿地公园生态保护与社会经济发展矛盾的需要。</w:t>
      </w:r>
    </w:p>
    <w:p>
      <w:pPr>
        <w:ind w:firstLine="562"/>
        <w:rPr>
          <w:rFonts w:cs="Times New Roman"/>
          <w:b/>
          <w:bCs/>
          <w:szCs w:val="28"/>
        </w:rPr>
      </w:pPr>
      <w:r>
        <w:rPr>
          <w:rFonts w:cs="Times New Roman"/>
          <w:b/>
          <w:bCs/>
          <w:szCs w:val="28"/>
        </w:rPr>
        <w:t xml:space="preserve">2. </w:t>
      </w:r>
      <w:r>
        <w:rPr>
          <w:rFonts w:hint="eastAsia" w:cs="Times New Roman"/>
          <w:b/>
          <w:bCs/>
          <w:szCs w:val="28"/>
        </w:rPr>
        <w:t>是使公园规划更符合实际，促进公园健康持续发展的需要</w:t>
      </w:r>
    </w:p>
    <w:p>
      <w:pPr>
        <w:ind w:firstLine="560"/>
        <w:rPr>
          <w:rFonts w:cs="Times New Roman"/>
          <w:szCs w:val="28"/>
        </w:rPr>
      </w:pPr>
      <w:r>
        <w:rPr>
          <w:rFonts w:hint="eastAsia" w:cs="Times New Roman"/>
          <w:szCs w:val="28"/>
        </w:rPr>
        <w:t>根据《自然资源部国家林业和草原局关于做好自然保护区范围及功能分区优化调整前期有关工作的函》（自然资函〔2020〕71号）文件要求，以着力解决好湿地自然公园内存在的现实矛盾冲突和历史遗留问题为目标，以71号文第三章“科学调整范围”为依据，对湿地自然公园内永久基本农田、镇村、矿业权、成片集体人工商品、经济开发区等情况进行科学评估，根据新的导则、技术规程规范，结合原功能区的发展方向、目标定位，对湿地公园的范围进行优化。同时，在习近平新时代中国特色社会主义新思想的指导下，结合湿地公园保护管理实际情况，优化布局建设内容，促进湿地公园的可持续发展。</w:t>
      </w:r>
    </w:p>
    <w:p>
      <w:pPr>
        <w:numPr>
          <w:ilvl w:val="0"/>
          <w:numId w:val="2"/>
        </w:numPr>
        <w:ind w:firstLine="562"/>
        <w:rPr>
          <w:rFonts w:ascii="Times New Roman" w:hAnsi="Times New Roman" w:cs="Times New Roman"/>
          <w:b/>
          <w:bCs/>
          <w:szCs w:val="28"/>
        </w:rPr>
      </w:pPr>
      <w:r>
        <w:rPr>
          <w:rFonts w:hint="eastAsia" w:ascii="Times New Roman" w:hAnsi="Times New Roman" w:cs="Times New Roman"/>
          <w:b/>
          <w:bCs/>
          <w:szCs w:val="28"/>
        </w:rPr>
        <w:t>解决历史遗留问题，改善当地民生</w:t>
      </w:r>
    </w:p>
    <w:p>
      <w:pPr>
        <w:pStyle w:val="16"/>
        <w:ind w:firstLine="560"/>
      </w:pPr>
      <w:r>
        <w:rPr>
          <w:rFonts w:hint="eastAsia"/>
        </w:rPr>
        <w:t>仙阳湖国家湿地公园在批准建立之前，湿地公园内存在建制镇和人口密集区，且不具备保护价值；前期湿地保护区总体规划过程中未充分考虑到当地居民生产生活的需要，将其划入了湿地公园；湿地保护完整严格的管理制度和条例，导致被划入湿地公园后，当地居民生产生活受到诸多严格限制。根据国家有关法律、法规对湿地公园管理的规定，湿地公园范围的确定应当在保证有效保护和管理的基础上，兼顾当地经济建设和居民生产生活的需要。因此，应从尊重历史事实和尽快改善民生的角度出发，适当调整功能区划。</w:t>
      </w:r>
    </w:p>
    <w:p>
      <w:pPr>
        <w:spacing w:before="197" w:beforeLines="50"/>
        <w:ind w:firstLine="600"/>
        <w:rPr>
          <w:rFonts w:ascii="黑体" w:hAnsi="黑体" w:eastAsia="黑体" w:cs="黑体"/>
          <w:sz w:val="30"/>
          <w:szCs w:val="30"/>
        </w:rPr>
      </w:pPr>
      <w:bookmarkStart w:id="12" w:name="_Toc114084623"/>
      <w:bookmarkStart w:id="13" w:name="_Toc113925678"/>
      <w:bookmarkStart w:id="14" w:name="_Toc8669"/>
      <w:bookmarkStart w:id="15" w:name="_Toc113925426"/>
      <w:r>
        <w:rPr>
          <w:rFonts w:hint="eastAsia" w:ascii="黑体" w:hAnsi="黑体" w:eastAsia="黑体" w:cs="黑体"/>
          <w:sz w:val="30"/>
          <w:szCs w:val="30"/>
        </w:rPr>
        <w:t>三、调整方案</w:t>
      </w:r>
      <w:bookmarkEnd w:id="12"/>
      <w:bookmarkEnd w:id="13"/>
      <w:bookmarkEnd w:id="14"/>
      <w:bookmarkEnd w:id="15"/>
    </w:p>
    <w:p>
      <w:pPr>
        <w:ind w:firstLine="560"/>
        <w:rPr>
          <w:rFonts w:cs="Times New Roman"/>
          <w:szCs w:val="28"/>
        </w:rPr>
      </w:pPr>
      <w:r>
        <w:rPr>
          <w:rFonts w:hint="eastAsia" w:cs="Times New Roman"/>
          <w:szCs w:val="28"/>
        </w:rPr>
        <w:t>根据《湿地公园总体规划导则》的要求，结合湿地公园自身的特色、发展需求，在实地考察、广泛调研和科学分析的基础上，以保护湿地公园健康的湿地和恢复受损的湿地生态系统为重点，通过多途径多方式的宣传教育，提高了社会大众湿地保护意识，在有效保护好湿地公园自然禀赋的基础上，进行合理利用，促进湿地公园健康持续发展。本次调整包括</w:t>
      </w:r>
      <w:r>
        <w:rPr>
          <w:rFonts w:hint="eastAsia" w:cs="Times New Roman"/>
        </w:rPr>
        <w:t>自然保护地整合优化</w:t>
      </w:r>
      <w:r>
        <w:rPr>
          <w:rFonts w:hint="eastAsia" w:cs="Times New Roman"/>
          <w:szCs w:val="28"/>
        </w:rPr>
        <w:t>范围调整和功能区调整两个方面。</w:t>
      </w:r>
    </w:p>
    <w:p>
      <w:pPr>
        <w:ind w:firstLine="562"/>
        <w:rPr>
          <w:rFonts w:cs="Times New Roman"/>
          <w:b/>
          <w:bCs/>
          <w:szCs w:val="28"/>
        </w:rPr>
      </w:pPr>
      <w:r>
        <w:rPr>
          <w:rFonts w:cs="Times New Roman"/>
          <w:b/>
          <w:bCs/>
          <w:szCs w:val="28"/>
        </w:rPr>
        <w:t xml:space="preserve">1. </w:t>
      </w:r>
      <w:r>
        <w:rPr>
          <w:rFonts w:hint="eastAsia" w:cs="Times New Roman"/>
          <w:b/>
          <w:bCs/>
        </w:rPr>
        <w:t>自然保护地整合优化</w:t>
      </w:r>
      <w:r>
        <w:rPr>
          <w:rFonts w:hint="eastAsia" w:cs="Times New Roman"/>
          <w:b/>
          <w:bCs/>
          <w:szCs w:val="28"/>
        </w:rPr>
        <w:t>范围调整方案</w:t>
      </w:r>
    </w:p>
    <w:p>
      <w:pPr>
        <w:ind w:firstLine="560"/>
        <w:rPr>
          <w:rFonts w:cs="Times New Roman"/>
          <w:szCs w:val="28"/>
        </w:rPr>
      </w:pPr>
      <w:bookmarkStart w:id="16" w:name="_Hlk147516244"/>
      <w:r>
        <w:rPr>
          <w:rFonts w:hint="eastAsia" w:cs="Times New Roman"/>
          <w:szCs w:val="28"/>
        </w:rPr>
        <w:t>由于湿地公园内局部地块存在土地权属矛盾以及重大工程项目冲突，且考虑到湿地公园周边区域生态保护价值，对湿地公园范围实施调整，调出面积</w:t>
      </w:r>
      <w:r>
        <w:rPr>
          <w:rFonts w:cs="Times New Roman"/>
          <w:szCs w:val="28"/>
        </w:rPr>
        <w:t>163.90</w:t>
      </w:r>
      <w:r>
        <w:rPr>
          <w:rFonts w:hint="eastAsia" w:cs="Times New Roman"/>
          <w:szCs w:val="28"/>
        </w:rPr>
        <w:t>公顷。按类别分，因城市规划区调出15.49公顷，因</w:t>
      </w:r>
      <w:r>
        <w:rPr>
          <w:rFonts w:ascii="仿宋" w:hAnsi="仿宋"/>
          <w:szCs w:val="28"/>
        </w:rPr>
        <w:t>建制镇</w:t>
      </w:r>
      <w:r>
        <w:rPr>
          <w:rFonts w:hint="eastAsia" w:ascii="仿宋" w:hAnsi="仿宋"/>
          <w:szCs w:val="28"/>
        </w:rPr>
        <w:t>区调出</w:t>
      </w:r>
      <w:r>
        <w:rPr>
          <w:rFonts w:cs="Times New Roman"/>
          <w:szCs w:val="28"/>
        </w:rPr>
        <w:t>44.58</w:t>
      </w:r>
      <w:r>
        <w:rPr>
          <w:rFonts w:hint="eastAsia" w:cs="Times New Roman"/>
          <w:szCs w:val="28"/>
        </w:rPr>
        <w:t>公顷，因成片人工集体商品林调出49.47公顷，因永久基本农田面积调出</w:t>
      </w:r>
      <w:r>
        <w:rPr>
          <w:rFonts w:hint="eastAsia" w:cs="Times New Roman"/>
          <w:szCs w:val="28"/>
          <w:lang w:bidi="ar"/>
        </w:rPr>
        <w:t>51.44公顷</w:t>
      </w:r>
      <w:r>
        <w:rPr>
          <w:rFonts w:hint="eastAsia" w:cs="Times New Roman"/>
          <w:szCs w:val="28"/>
        </w:rPr>
        <w:t>，因</w:t>
      </w:r>
      <w:r>
        <w:rPr>
          <w:rFonts w:hint="eastAsia" w:ascii="仿宋" w:hAnsi="仿宋"/>
          <w:szCs w:val="28"/>
        </w:rPr>
        <w:t>边界地形调整</w:t>
      </w:r>
      <w:r>
        <w:rPr>
          <w:rFonts w:hint="eastAsia" w:cs="Times New Roman"/>
          <w:szCs w:val="28"/>
          <w:lang w:bidi="ar"/>
        </w:rPr>
        <w:t>调出2</w:t>
      </w:r>
      <w:r>
        <w:rPr>
          <w:rFonts w:cs="Times New Roman"/>
          <w:szCs w:val="28"/>
          <w:lang w:bidi="ar"/>
        </w:rPr>
        <w:t>.92</w:t>
      </w:r>
      <w:r>
        <w:rPr>
          <w:rFonts w:hint="eastAsia" w:cs="Times New Roman"/>
          <w:szCs w:val="28"/>
          <w:lang w:bidi="ar"/>
        </w:rPr>
        <w:t>公顷。</w:t>
      </w:r>
      <w:r>
        <w:rPr>
          <w:rFonts w:hint="eastAsia" w:cs="Times New Roman"/>
          <w:szCs w:val="28"/>
        </w:rPr>
        <w:t>调入面积</w:t>
      </w:r>
      <w:r>
        <w:rPr>
          <w:rFonts w:cs="Times New Roman"/>
          <w:szCs w:val="28"/>
        </w:rPr>
        <w:t>1605.96</w:t>
      </w:r>
      <w:r>
        <w:rPr>
          <w:rFonts w:hint="eastAsia" w:cs="Times New Roman"/>
          <w:szCs w:val="28"/>
        </w:rPr>
        <w:t>公顷，</w:t>
      </w:r>
      <w:r>
        <w:rPr>
          <w:rFonts w:cs="Times New Roman"/>
          <w:szCs w:val="28"/>
        </w:rPr>
        <w:t>其中调入合理利用区面积712.07公顷；调入保育区面积893.89公顷。</w:t>
      </w:r>
      <w:r>
        <w:rPr>
          <w:rFonts w:hint="eastAsia" w:cs="Times New Roman"/>
          <w:szCs w:val="28"/>
        </w:rPr>
        <w:t>主要为仙阳湖两岸周边保护价值较高的林地。详见下表。</w:t>
      </w:r>
      <w:bookmarkEnd w:id="16"/>
    </w:p>
    <w:p>
      <w:pPr>
        <w:pStyle w:val="14"/>
        <w:spacing w:before="197" w:after="0" w:afterLines="0"/>
        <w:rPr>
          <w:rFonts w:ascii="黑体" w:hAnsi="黑体" w:cs="黑体"/>
          <w:sz w:val="24"/>
          <w:szCs w:val="24"/>
        </w:rPr>
      </w:pPr>
      <w:r>
        <w:rPr>
          <w:rFonts w:hint="eastAsia" w:ascii="黑体" w:hAnsi="黑体" w:cs="黑体"/>
          <w:sz w:val="24"/>
          <w:szCs w:val="24"/>
        </w:rPr>
        <w:t>仙阳湖国家湿地公园调出面积一览表</w:t>
      </w:r>
    </w:p>
    <w:p>
      <w:pPr>
        <w:pStyle w:val="14"/>
        <w:tabs>
          <w:tab w:val="left" w:pos="7652"/>
        </w:tabs>
        <w:spacing w:before="0" w:beforeLines="0" w:after="0" w:afterLines="0"/>
        <w:jc w:val="left"/>
        <w:rPr>
          <w:rFonts w:ascii="仿宋" w:hAnsi="仿宋" w:eastAsia="仿宋" w:cs="仿宋"/>
          <w:szCs w:val="21"/>
        </w:rPr>
      </w:pPr>
      <w:r>
        <w:rPr>
          <w:rFonts w:hint="eastAsia" w:ascii="黑体" w:hAnsi="黑体" w:cs="黑体"/>
          <w:sz w:val="24"/>
          <w:szCs w:val="24"/>
        </w:rPr>
        <w:tab/>
      </w:r>
      <w:r>
        <w:rPr>
          <w:rFonts w:hint="eastAsia" w:ascii="仿宋" w:hAnsi="仿宋" w:eastAsia="仿宋" w:cs="仿宋"/>
          <w:szCs w:val="21"/>
        </w:rPr>
        <w:t>单位：公顷</w:t>
      </w:r>
    </w:p>
    <w:tbl>
      <w:tblPr>
        <w:tblStyle w:val="32"/>
        <w:tblW w:w="9900" w:type="dxa"/>
        <w:jc w:val="center"/>
        <w:tblLayout w:type="fixed"/>
        <w:tblCellMar>
          <w:top w:w="0" w:type="dxa"/>
          <w:left w:w="108" w:type="dxa"/>
          <w:bottom w:w="0" w:type="dxa"/>
          <w:right w:w="108" w:type="dxa"/>
        </w:tblCellMar>
      </w:tblPr>
      <w:tblGrid>
        <w:gridCol w:w="675"/>
        <w:gridCol w:w="810"/>
        <w:gridCol w:w="945"/>
        <w:gridCol w:w="1095"/>
        <w:gridCol w:w="795"/>
        <w:gridCol w:w="690"/>
        <w:gridCol w:w="750"/>
        <w:gridCol w:w="870"/>
        <w:gridCol w:w="720"/>
        <w:gridCol w:w="705"/>
        <w:gridCol w:w="930"/>
        <w:gridCol w:w="915"/>
      </w:tblGrid>
      <w:tr>
        <w:tblPrEx>
          <w:tblCellMar>
            <w:top w:w="0" w:type="dxa"/>
            <w:left w:w="108" w:type="dxa"/>
            <w:bottom w:w="0" w:type="dxa"/>
            <w:right w:w="108" w:type="dxa"/>
          </w:tblCellMar>
        </w:tblPrEx>
        <w:trPr>
          <w:trHeight w:val="629" w:hRule="atLeast"/>
          <w:jc w:val="center"/>
        </w:trPr>
        <w:tc>
          <w:tcPr>
            <w:tcW w:w="67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b/>
                <w:bCs/>
                <w:color w:val="000000"/>
                <w:sz w:val="21"/>
                <w:szCs w:val="21"/>
              </w:rPr>
            </w:pPr>
            <w:r>
              <w:rPr>
                <w:rFonts w:cs="Times New Roman"/>
                <w:b/>
                <w:bCs/>
                <w:color w:val="000000"/>
                <w:kern w:val="0"/>
                <w:sz w:val="21"/>
                <w:szCs w:val="21"/>
                <w:lang w:bidi="ar"/>
              </w:rPr>
              <w:t>行政单位</w:t>
            </w:r>
          </w:p>
        </w:tc>
        <w:tc>
          <w:tcPr>
            <w:tcW w:w="175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b/>
                <w:bCs/>
                <w:color w:val="000000"/>
                <w:kern w:val="0"/>
                <w:sz w:val="21"/>
                <w:szCs w:val="21"/>
                <w:lang w:bidi="ar"/>
              </w:rPr>
            </w:pPr>
            <w:r>
              <w:rPr>
                <w:rFonts w:cs="Times New Roman"/>
                <w:b/>
                <w:bCs/>
                <w:color w:val="000000"/>
                <w:kern w:val="0"/>
                <w:sz w:val="21"/>
                <w:szCs w:val="21"/>
                <w:lang w:bidi="ar"/>
              </w:rPr>
              <w:t>调整前面积</w:t>
            </w:r>
          </w:p>
          <w:p>
            <w:pPr>
              <w:widowControl/>
              <w:spacing w:line="240" w:lineRule="auto"/>
              <w:ind w:firstLine="0" w:firstLineChars="0"/>
              <w:jc w:val="center"/>
              <w:textAlignment w:val="top"/>
              <w:rPr>
                <w:rFonts w:cs="Times New Roman"/>
                <w:b/>
                <w:bCs/>
                <w:color w:val="000000"/>
                <w:sz w:val="21"/>
                <w:szCs w:val="21"/>
              </w:rPr>
            </w:pPr>
            <w:r>
              <w:rPr>
                <w:rFonts w:cs="Times New Roman"/>
                <w:b/>
                <w:bCs/>
                <w:color w:val="000000"/>
                <w:kern w:val="0"/>
                <w:sz w:val="21"/>
                <w:szCs w:val="21"/>
                <w:lang w:bidi="ar"/>
              </w:rPr>
              <w:t>（公顷）</w:t>
            </w:r>
          </w:p>
        </w:tc>
        <w:tc>
          <w:tcPr>
            <w:tcW w:w="10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b/>
                <w:bCs/>
                <w:color w:val="000000"/>
                <w:kern w:val="0"/>
                <w:sz w:val="21"/>
                <w:szCs w:val="21"/>
                <w:lang w:bidi="ar"/>
              </w:rPr>
            </w:pPr>
            <w:r>
              <w:rPr>
                <w:rFonts w:cs="Times New Roman"/>
                <w:b/>
                <w:bCs/>
                <w:color w:val="000000"/>
                <w:kern w:val="0"/>
                <w:sz w:val="21"/>
                <w:szCs w:val="21"/>
                <w:lang w:bidi="ar"/>
              </w:rPr>
              <w:t>调整后</w:t>
            </w:r>
          </w:p>
          <w:p>
            <w:pPr>
              <w:widowControl/>
              <w:spacing w:line="240" w:lineRule="auto"/>
              <w:ind w:firstLine="0" w:firstLineChars="0"/>
              <w:jc w:val="center"/>
              <w:textAlignment w:val="top"/>
              <w:rPr>
                <w:rFonts w:cs="Times New Roman"/>
                <w:b/>
                <w:bCs/>
                <w:color w:val="000000"/>
                <w:kern w:val="0"/>
                <w:sz w:val="21"/>
                <w:szCs w:val="21"/>
                <w:lang w:bidi="ar"/>
              </w:rPr>
            </w:pPr>
            <w:r>
              <w:rPr>
                <w:rFonts w:cs="Times New Roman"/>
                <w:b/>
                <w:bCs/>
                <w:color w:val="000000"/>
                <w:kern w:val="0"/>
                <w:sz w:val="21"/>
                <w:szCs w:val="21"/>
                <w:lang w:bidi="ar"/>
              </w:rPr>
              <w:t>面积</w:t>
            </w:r>
          </w:p>
          <w:p>
            <w:pPr>
              <w:widowControl/>
              <w:spacing w:line="240" w:lineRule="auto"/>
              <w:ind w:firstLine="0" w:firstLineChars="0"/>
              <w:jc w:val="center"/>
              <w:textAlignment w:val="top"/>
              <w:rPr>
                <w:rFonts w:cs="Times New Roman"/>
                <w:b/>
                <w:bCs/>
                <w:color w:val="000000"/>
                <w:sz w:val="21"/>
                <w:szCs w:val="21"/>
              </w:rPr>
            </w:pPr>
            <w:r>
              <w:rPr>
                <w:rFonts w:cs="Times New Roman"/>
                <w:b/>
                <w:bCs/>
                <w:color w:val="000000"/>
                <w:kern w:val="0"/>
                <w:sz w:val="21"/>
                <w:szCs w:val="21"/>
                <w:lang w:bidi="ar"/>
              </w:rPr>
              <w:t>（公顷）</w:t>
            </w:r>
          </w:p>
        </w:tc>
        <w:tc>
          <w:tcPr>
            <w:tcW w:w="4530"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b/>
                <w:bCs/>
                <w:color w:val="000000"/>
                <w:sz w:val="21"/>
                <w:szCs w:val="21"/>
              </w:rPr>
            </w:pPr>
            <w:r>
              <w:rPr>
                <w:rFonts w:cs="Times New Roman"/>
                <w:b/>
                <w:bCs/>
                <w:color w:val="000000"/>
                <w:kern w:val="0"/>
                <w:sz w:val="21"/>
                <w:szCs w:val="21"/>
                <w:lang w:bidi="ar"/>
              </w:rPr>
              <w:t>调出面积（公顷）</w:t>
            </w:r>
          </w:p>
        </w:tc>
        <w:tc>
          <w:tcPr>
            <w:tcW w:w="184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b/>
                <w:bCs/>
                <w:color w:val="000000"/>
                <w:kern w:val="0"/>
                <w:sz w:val="21"/>
                <w:szCs w:val="21"/>
                <w:lang w:bidi="ar"/>
              </w:rPr>
            </w:pPr>
            <w:r>
              <w:rPr>
                <w:rFonts w:cs="Times New Roman"/>
                <w:b/>
                <w:bCs/>
                <w:color w:val="000000"/>
                <w:kern w:val="0"/>
                <w:sz w:val="21"/>
                <w:szCs w:val="21"/>
                <w:lang w:bidi="ar"/>
              </w:rPr>
              <w:t>调入面积</w:t>
            </w:r>
          </w:p>
          <w:p>
            <w:pPr>
              <w:widowControl/>
              <w:spacing w:line="240" w:lineRule="auto"/>
              <w:ind w:firstLine="0" w:firstLineChars="0"/>
              <w:jc w:val="center"/>
              <w:textAlignment w:val="top"/>
              <w:rPr>
                <w:rFonts w:cs="Times New Roman"/>
                <w:b/>
                <w:bCs/>
                <w:color w:val="000000"/>
                <w:sz w:val="21"/>
                <w:szCs w:val="21"/>
              </w:rPr>
            </w:pPr>
            <w:r>
              <w:rPr>
                <w:rFonts w:cs="Times New Roman"/>
                <w:b/>
                <w:bCs/>
                <w:color w:val="000000"/>
                <w:kern w:val="0"/>
                <w:sz w:val="21"/>
                <w:szCs w:val="21"/>
                <w:lang w:bidi="ar"/>
              </w:rPr>
              <w:t>（公顷）</w:t>
            </w:r>
          </w:p>
        </w:tc>
      </w:tr>
      <w:tr>
        <w:tblPrEx>
          <w:tblCellMar>
            <w:top w:w="0" w:type="dxa"/>
            <w:left w:w="108" w:type="dxa"/>
            <w:bottom w:w="0" w:type="dxa"/>
            <w:right w:w="108" w:type="dxa"/>
          </w:tblCellMar>
        </w:tblPrEx>
        <w:trPr>
          <w:trHeight w:val="882" w:hRule="atLeast"/>
          <w:jc w:val="center"/>
        </w:trPr>
        <w:tc>
          <w:tcPr>
            <w:tcW w:w="6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ind w:firstLine="0" w:firstLineChars="0"/>
              <w:jc w:val="center"/>
              <w:rPr>
                <w:rFonts w:cs="Times New Roman"/>
                <w:b/>
                <w:bCs/>
                <w:color w:val="000000"/>
                <w:sz w:val="21"/>
                <w:szCs w:val="21"/>
              </w:rPr>
            </w:pP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b/>
                <w:bCs/>
                <w:color w:val="000000"/>
                <w:kern w:val="0"/>
                <w:sz w:val="21"/>
                <w:szCs w:val="21"/>
                <w:lang w:bidi="ar"/>
              </w:rPr>
            </w:pPr>
            <w:r>
              <w:rPr>
                <w:rFonts w:cs="Times New Roman"/>
                <w:b/>
                <w:bCs/>
                <w:color w:val="000000"/>
                <w:kern w:val="0"/>
                <w:sz w:val="21"/>
                <w:szCs w:val="21"/>
                <w:lang w:bidi="ar"/>
              </w:rPr>
              <w:t>批复</w:t>
            </w:r>
          </w:p>
          <w:p>
            <w:pPr>
              <w:widowControl/>
              <w:spacing w:line="240" w:lineRule="auto"/>
              <w:ind w:firstLine="0" w:firstLineChars="0"/>
              <w:jc w:val="center"/>
              <w:textAlignment w:val="top"/>
              <w:rPr>
                <w:rFonts w:cs="Times New Roman"/>
                <w:b/>
                <w:bCs/>
                <w:color w:val="000000"/>
                <w:sz w:val="21"/>
                <w:szCs w:val="21"/>
              </w:rPr>
            </w:pPr>
            <w:r>
              <w:rPr>
                <w:rFonts w:cs="Times New Roman"/>
                <w:b/>
                <w:bCs/>
                <w:color w:val="000000"/>
                <w:kern w:val="0"/>
                <w:sz w:val="21"/>
                <w:szCs w:val="21"/>
                <w:lang w:bidi="ar"/>
              </w:rPr>
              <w:t>面积</w:t>
            </w:r>
          </w:p>
        </w:tc>
        <w:tc>
          <w:tcPr>
            <w:tcW w:w="94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b/>
                <w:bCs/>
                <w:color w:val="000000"/>
                <w:kern w:val="0"/>
                <w:sz w:val="21"/>
                <w:szCs w:val="21"/>
                <w:lang w:bidi="ar"/>
              </w:rPr>
            </w:pPr>
            <w:r>
              <w:rPr>
                <w:rFonts w:cs="Times New Roman"/>
                <w:b/>
                <w:bCs/>
                <w:color w:val="000000"/>
                <w:kern w:val="0"/>
                <w:sz w:val="21"/>
                <w:szCs w:val="21"/>
                <w:lang w:bidi="ar"/>
              </w:rPr>
              <w:t>矢量</w:t>
            </w:r>
          </w:p>
          <w:p>
            <w:pPr>
              <w:widowControl/>
              <w:spacing w:line="240" w:lineRule="auto"/>
              <w:ind w:firstLine="0" w:firstLineChars="0"/>
              <w:jc w:val="center"/>
              <w:textAlignment w:val="top"/>
              <w:rPr>
                <w:rFonts w:cs="Times New Roman"/>
                <w:b/>
                <w:bCs/>
                <w:color w:val="000000"/>
                <w:sz w:val="21"/>
                <w:szCs w:val="21"/>
              </w:rPr>
            </w:pPr>
            <w:r>
              <w:rPr>
                <w:rFonts w:cs="Times New Roman"/>
                <w:b/>
                <w:bCs/>
                <w:color w:val="000000"/>
                <w:kern w:val="0"/>
                <w:sz w:val="21"/>
                <w:szCs w:val="21"/>
                <w:lang w:bidi="ar"/>
              </w:rPr>
              <w:t>面积</w:t>
            </w:r>
          </w:p>
        </w:tc>
        <w:tc>
          <w:tcPr>
            <w:tcW w:w="10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ind w:firstLine="0" w:firstLineChars="0"/>
              <w:jc w:val="center"/>
              <w:rPr>
                <w:rFonts w:cs="Times New Roman"/>
                <w:b/>
                <w:bCs/>
                <w:color w:val="000000"/>
                <w:sz w:val="21"/>
                <w:szCs w:val="21"/>
              </w:rPr>
            </w:pP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b/>
                <w:bCs/>
                <w:color w:val="000000"/>
                <w:sz w:val="21"/>
                <w:szCs w:val="21"/>
              </w:rPr>
            </w:pPr>
            <w:r>
              <w:rPr>
                <w:rFonts w:cs="Times New Roman"/>
                <w:b/>
                <w:bCs/>
                <w:color w:val="000000"/>
                <w:kern w:val="0"/>
                <w:sz w:val="21"/>
                <w:szCs w:val="21"/>
                <w:lang w:bidi="ar"/>
              </w:rPr>
              <w:t>小计</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b/>
                <w:bCs/>
                <w:color w:val="000000"/>
                <w:sz w:val="21"/>
                <w:szCs w:val="21"/>
              </w:rPr>
            </w:pPr>
            <w:r>
              <w:rPr>
                <w:rFonts w:cs="Times New Roman"/>
                <w:b/>
                <w:bCs/>
                <w:color w:val="000000"/>
                <w:kern w:val="0"/>
                <w:sz w:val="21"/>
                <w:szCs w:val="21"/>
                <w:lang w:bidi="ar"/>
              </w:rPr>
              <w:t>城市规划区</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b/>
                <w:bCs/>
                <w:color w:val="000000"/>
                <w:sz w:val="21"/>
                <w:szCs w:val="21"/>
              </w:rPr>
            </w:pPr>
            <w:r>
              <w:rPr>
                <w:rFonts w:cs="Times New Roman"/>
                <w:b/>
                <w:bCs/>
                <w:color w:val="000000"/>
                <w:kern w:val="0"/>
                <w:sz w:val="21"/>
                <w:szCs w:val="21"/>
                <w:lang w:bidi="ar"/>
              </w:rPr>
              <w:t>建制镇</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b/>
                <w:bCs/>
                <w:color w:val="000000"/>
                <w:sz w:val="21"/>
                <w:szCs w:val="21"/>
              </w:rPr>
            </w:pPr>
            <w:r>
              <w:rPr>
                <w:rFonts w:cs="Times New Roman"/>
                <w:b/>
                <w:bCs/>
                <w:color w:val="000000"/>
                <w:kern w:val="0"/>
                <w:sz w:val="21"/>
                <w:szCs w:val="21"/>
                <w:lang w:bidi="ar"/>
              </w:rPr>
              <w:t>成片人工集体商品林</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b/>
                <w:bCs/>
                <w:color w:val="000000"/>
                <w:sz w:val="21"/>
                <w:szCs w:val="21"/>
              </w:rPr>
            </w:pPr>
            <w:r>
              <w:rPr>
                <w:rFonts w:cs="Times New Roman"/>
                <w:b/>
                <w:bCs/>
                <w:color w:val="000000"/>
                <w:kern w:val="0"/>
                <w:sz w:val="21"/>
                <w:szCs w:val="21"/>
                <w:lang w:bidi="ar"/>
              </w:rPr>
              <w:t>永久基本农田</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b/>
                <w:bCs/>
                <w:color w:val="000000"/>
                <w:sz w:val="21"/>
                <w:szCs w:val="21"/>
              </w:rPr>
            </w:pPr>
            <w:r>
              <w:rPr>
                <w:rFonts w:cs="Times New Roman"/>
                <w:b/>
                <w:bCs/>
                <w:color w:val="000000"/>
                <w:kern w:val="0"/>
                <w:sz w:val="21"/>
                <w:szCs w:val="21"/>
                <w:lang w:bidi="ar"/>
              </w:rPr>
              <w:t>边界地形调整</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b/>
                <w:bCs/>
                <w:color w:val="000000"/>
                <w:sz w:val="21"/>
                <w:szCs w:val="21"/>
              </w:rPr>
            </w:pPr>
            <w:r>
              <w:rPr>
                <w:rFonts w:cs="Times New Roman"/>
                <w:b/>
                <w:bCs/>
                <w:color w:val="000000"/>
                <w:kern w:val="0"/>
                <w:sz w:val="21"/>
                <w:szCs w:val="21"/>
                <w:lang w:bidi="ar"/>
              </w:rPr>
              <w:t>小计</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b/>
                <w:bCs/>
                <w:color w:val="000000"/>
                <w:sz w:val="21"/>
                <w:szCs w:val="21"/>
              </w:rPr>
            </w:pPr>
            <w:r>
              <w:rPr>
                <w:rFonts w:cs="Times New Roman"/>
                <w:b/>
                <w:bCs/>
                <w:color w:val="000000"/>
                <w:kern w:val="0"/>
                <w:sz w:val="21"/>
                <w:szCs w:val="21"/>
                <w:lang w:bidi="ar"/>
              </w:rPr>
              <w:t>生态保护红线范围</w:t>
            </w:r>
          </w:p>
        </w:tc>
      </w:tr>
      <w:tr>
        <w:tblPrEx>
          <w:tblCellMar>
            <w:top w:w="0" w:type="dxa"/>
            <w:left w:w="108" w:type="dxa"/>
            <w:bottom w:w="0" w:type="dxa"/>
            <w:right w:w="108" w:type="dxa"/>
          </w:tblCellMar>
        </w:tblPrEx>
        <w:trPr>
          <w:trHeight w:val="454" w:hRule="atLeast"/>
          <w:jc w:val="center"/>
        </w:trPr>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sz w:val="21"/>
                <w:szCs w:val="21"/>
              </w:rPr>
            </w:pPr>
            <w:r>
              <w:rPr>
                <w:rFonts w:cs="Times New Roman"/>
                <w:color w:val="000000"/>
                <w:kern w:val="0"/>
                <w:sz w:val="21"/>
                <w:szCs w:val="21"/>
                <w:lang w:bidi="ar"/>
              </w:rPr>
              <w:t>石门</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7946.6</w:t>
            </w:r>
          </w:p>
        </w:tc>
        <w:tc>
          <w:tcPr>
            <w:tcW w:w="94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Times New Roman"/>
                <w:color w:val="000000"/>
                <w:sz w:val="21"/>
                <w:szCs w:val="21"/>
              </w:rPr>
            </w:pPr>
            <w:r>
              <w:rPr>
                <w:rFonts w:hint="eastAsia" w:cs="Times New Roman"/>
                <w:sz w:val="21"/>
                <w:szCs w:val="21"/>
              </w:rPr>
              <w:t>7944.52</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9386.58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Times New Roman"/>
                <w:color w:val="000000"/>
                <w:sz w:val="21"/>
                <w:szCs w:val="21"/>
              </w:rPr>
            </w:pPr>
            <w:r>
              <w:rPr>
                <w:rFonts w:hint="eastAsia" w:cs="Times New Roman"/>
                <w:color w:val="000000"/>
                <w:kern w:val="0"/>
                <w:sz w:val="21"/>
                <w:szCs w:val="21"/>
                <w:lang w:bidi="ar"/>
              </w:rPr>
              <w:t>163.90</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15.49</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44.58</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Times New Roman"/>
                <w:color w:val="000000"/>
                <w:sz w:val="21"/>
                <w:szCs w:val="21"/>
              </w:rPr>
            </w:pPr>
            <w:r>
              <w:rPr>
                <w:rFonts w:hint="eastAsia" w:cs="Times New Roman"/>
                <w:color w:val="000000"/>
                <w:kern w:val="0"/>
                <w:sz w:val="21"/>
                <w:szCs w:val="21"/>
                <w:lang w:bidi="ar"/>
              </w:rPr>
              <w:t>49.47</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51.44</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2.92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1605.96</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1605.96</w:t>
            </w:r>
          </w:p>
        </w:tc>
      </w:tr>
      <w:tr>
        <w:tblPrEx>
          <w:tblCellMar>
            <w:top w:w="0" w:type="dxa"/>
            <w:left w:w="108" w:type="dxa"/>
            <w:bottom w:w="0" w:type="dxa"/>
            <w:right w:w="108" w:type="dxa"/>
          </w:tblCellMar>
        </w:tblPrEx>
        <w:trPr>
          <w:trHeight w:val="454" w:hRule="atLeast"/>
          <w:jc w:val="center"/>
        </w:trPr>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sz w:val="21"/>
                <w:szCs w:val="21"/>
              </w:rPr>
            </w:pPr>
            <w:r>
              <w:rPr>
                <w:rFonts w:cs="Times New Roman"/>
                <w:color w:val="000000"/>
                <w:kern w:val="0"/>
                <w:sz w:val="21"/>
                <w:szCs w:val="21"/>
                <w:lang w:bidi="ar"/>
              </w:rPr>
              <w:t>合计</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7946.6</w:t>
            </w:r>
          </w:p>
        </w:tc>
        <w:tc>
          <w:tcPr>
            <w:tcW w:w="94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Times New Roman"/>
                <w:color w:val="000000"/>
                <w:sz w:val="21"/>
                <w:szCs w:val="21"/>
              </w:rPr>
            </w:pPr>
            <w:r>
              <w:rPr>
                <w:rFonts w:hint="eastAsia" w:cs="Times New Roman"/>
                <w:sz w:val="21"/>
                <w:szCs w:val="21"/>
              </w:rPr>
              <w:t>7944.52</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9386.58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Times New Roman"/>
                <w:color w:val="000000"/>
                <w:sz w:val="21"/>
                <w:szCs w:val="21"/>
              </w:rPr>
            </w:pPr>
            <w:r>
              <w:rPr>
                <w:rFonts w:hint="eastAsia" w:cs="Times New Roman"/>
                <w:color w:val="000000"/>
                <w:kern w:val="0"/>
                <w:sz w:val="21"/>
                <w:szCs w:val="21"/>
                <w:lang w:bidi="ar"/>
              </w:rPr>
              <w:t>163.90</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15.49</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44.58</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Times New Roman"/>
                <w:color w:val="000000"/>
                <w:sz w:val="21"/>
                <w:szCs w:val="21"/>
              </w:rPr>
            </w:pPr>
            <w:r>
              <w:rPr>
                <w:rFonts w:hint="eastAsia" w:cs="Times New Roman"/>
                <w:color w:val="000000"/>
                <w:kern w:val="0"/>
                <w:sz w:val="21"/>
                <w:szCs w:val="21"/>
                <w:lang w:bidi="ar"/>
              </w:rPr>
              <w:t>49.47</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51.44</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2.92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1605.96</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1605.96</w:t>
            </w:r>
          </w:p>
        </w:tc>
      </w:tr>
    </w:tbl>
    <w:p>
      <w:pPr>
        <w:spacing w:before="197" w:beforeLines="50"/>
        <w:ind w:firstLine="562"/>
        <w:rPr>
          <w:rFonts w:cs="Times New Roman"/>
          <w:b/>
          <w:bCs/>
          <w:szCs w:val="28"/>
        </w:rPr>
      </w:pPr>
      <w:r>
        <w:rPr>
          <w:rFonts w:cs="Times New Roman"/>
          <w:b/>
          <w:bCs/>
          <w:szCs w:val="28"/>
        </w:rPr>
        <w:t xml:space="preserve">2. </w:t>
      </w:r>
      <w:r>
        <w:rPr>
          <w:rFonts w:hint="eastAsia" w:cs="Times New Roman"/>
          <w:b/>
          <w:bCs/>
          <w:szCs w:val="28"/>
        </w:rPr>
        <w:t>功能区调整方案</w:t>
      </w:r>
    </w:p>
    <w:p>
      <w:pPr>
        <w:pStyle w:val="16"/>
        <w:ind w:firstLine="560"/>
        <w:rPr>
          <w:rFonts w:cs="Times New Roman"/>
          <w:szCs w:val="28"/>
        </w:rPr>
      </w:pPr>
      <w:r>
        <w:rPr>
          <w:rFonts w:hint="eastAsia" w:cs="Times New Roman"/>
          <w:szCs w:val="28"/>
        </w:rPr>
        <w:t>本次功能区划调整，按照区划原则与要求，秉着“尊重历史，面向未来”，在实地考察、广泛调研和科学分析的基础上，针对湿地公园功能区进行优化调整，将2014版规划所区划的保育区、恢复重建区、合理利用区三大功能区，按照《湿地公园总体规划导则》的要求，原恢复重建区和合理利用区合并成合理利用区，原保育区不变。功能区重组后</w:t>
      </w:r>
      <w:r>
        <w:rPr>
          <w:rFonts w:hint="eastAsia" w:cs="Times New Roman"/>
          <w:lang w:eastAsia="zh-CN"/>
        </w:rPr>
        <w:t>生态</w:t>
      </w:r>
      <w:r>
        <w:rPr>
          <w:rFonts w:hint="eastAsia" w:cs="Times New Roman"/>
          <w:szCs w:val="28"/>
        </w:rPr>
        <w:t>保育区面积7316.32公顷，合理利用区面积628.20公顷，湿地公园面积为7944.52公顷。详见下表。</w:t>
      </w:r>
    </w:p>
    <w:p>
      <w:pPr>
        <w:pStyle w:val="14"/>
        <w:keepNext w:val="0"/>
        <w:keepLines w:val="0"/>
        <w:pageBreakBefore w:val="0"/>
        <w:widowControl w:val="0"/>
        <w:kinsoku/>
        <w:wordWrap/>
        <w:overflowPunct/>
        <w:topLinePunct w:val="0"/>
        <w:autoSpaceDE/>
        <w:autoSpaceDN/>
        <w:bidi w:val="0"/>
        <w:adjustRightInd/>
        <w:snapToGrid/>
        <w:spacing w:before="197" w:after="199" w:afterLines="50"/>
        <w:textAlignment w:val="auto"/>
        <w:rPr>
          <w:rFonts w:ascii="黑体" w:hAnsi="黑体" w:cs="黑体"/>
          <w:sz w:val="24"/>
          <w:szCs w:val="24"/>
        </w:rPr>
      </w:pPr>
      <w:r>
        <w:rPr>
          <w:rFonts w:hint="eastAsia" w:ascii="黑体" w:hAnsi="黑体" w:cs="黑体"/>
          <w:sz w:val="24"/>
          <w:szCs w:val="24"/>
        </w:rPr>
        <w:t>湖南石门仙阳湖国家湿地自然公园功能区划表</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8"/>
        <w:gridCol w:w="3315"/>
        <w:gridCol w:w="2443"/>
        <w:gridCol w:w="2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8" w:type="dxa"/>
            <w:vAlign w:val="center"/>
          </w:tcPr>
          <w:p>
            <w:pPr>
              <w:widowControl/>
              <w:spacing w:line="240" w:lineRule="auto"/>
              <w:ind w:firstLine="0" w:firstLineChars="0"/>
              <w:jc w:val="center"/>
              <w:textAlignment w:val="top"/>
              <w:rPr>
                <w:rFonts w:cs="Times New Roman"/>
                <w:b/>
                <w:bCs/>
                <w:color w:val="000000"/>
                <w:kern w:val="0"/>
                <w:sz w:val="21"/>
                <w:szCs w:val="21"/>
                <w:lang w:bidi="ar"/>
              </w:rPr>
            </w:pPr>
            <w:r>
              <w:rPr>
                <w:rFonts w:hint="eastAsia" w:cs="Times New Roman"/>
                <w:b/>
                <w:bCs/>
                <w:color w:val="000000"/>
                <w:kern w:val="0"/>
                <w:sz w:val="21"/>
                <w:szCs w:val="21"/>
                <w:lang w:bidi="ar"/>
              </w:rPr>
              <w:t>序号</w:t>
            </w:r>
          </w:p>
        </w:tc>
        <w:tc>
          <w:tcPr>
            <w:tcW w:w="3315" w:type="dxa"/>
            <w:vAlign w:val="center"/>
          </w:tcPr>
          <w:p>
            <w:pPr>
              <w:widowControl/>
              <w:spacing w:line="240" w:lineRule="auto"/>
              <w:ind w:firstLine="0" w:firstLineChars="0"/>
              <w:jc w:val="center"/>
              <w:textAlignment w:val="top"/>
              <w:rPr>
                <w:rFonts w:cs="Times New Roman"/>
                <w:b/>
                <w:bCs/>
                <w:color w:val="000000"/>
                <w:kern w:val="0"/>
                <w:sz w:val="21"/>
                <w:szCs w:val="21"/>
                <w:lang w:bidi="ar"/>
              </w:rPr>
            </w:pPr>
            <w:r>
              <w:rPr>
                <w:rFonts w:hint="eastAsia" w:cs="Times New Roman"/>
                <w:b/>
                <w:bCs/>
                <w:color w:val="000000"/>
                <w:kern w:val="0"/>
                <w:sz w:val="21"/>
                <w:szCs w:val="21"/>
                <w:lang w:bidi="ar"/>
              </w:rPr>
              <w:t>功能区</w:t>
            </w:r>
          </w:p>
        </w:tc>
        <w:tc>
          <w:tcPr>
            <w:tcW w:w="2443" w:type="dxa"/>
            <w:vAlign w:val="center"/>
          </w:tcPr>
          <w:p>
            <w:pPr>
              <w:widowControl/>
              <w:spacing w:line="240" w:lineRule="auto"/>
              <w:ind w:firstLine="0" w:firstLineChars="0"/>
              <w:jc w:val="center"/>
              <w:textAlignment w:val="top"/>
              <w:rPr>
                <w:rFonts w:cs="Times New Roman"/>
                <w:b/>
                <w:bCs/>
                <w:color w:val="000000"/>
                <w:kern w:val="0"/>
                <w:sz w:val="21"/>
                <w:szCs w:val="21"/>
                <w:lang w:bidi="ar"/>
              </w:rPr>
            </w:pPr>
            <w:r>
              <w:rPr>
                <w:rFonts w:hint="eastAsia" w:cs="Times New Roman"/>
                <w:b/>
                <w:bCs/>
                <w:color w:val="000000"/>
                <w:kern w:val="0"/>
                <w:sz w:val="21"/>
                <w:szCs w:val="21"/>
                <w:lang w:bidi="ar"/>
              </w:rPr>
              <w:t>面积（公顷）</w:t>
            </w:r>
          </w:p>
        </w:tc>
        <w:tc>
          <w:tcPr>
            <w:tcW w:w="2074" w:type="dxa"/>
            <w:vAlign w:val="center"/>
          </w:tcPr>
          <w:p>
            <w:pPr>
              <w:widowControl/>
              <w:spacing w:line="240" w:lineRule="auto"/>
              <w:ind w:firstLine="0" w:firstLineChars="0"/>
              <w:jc w:val="center"/>
              <w:textAlignment w:val="top"/>
              <w:rPr>
                <w:rFonts w:cs="Times New Roman"/>
                <w:b/>
                <w:bCs/>
                <w:color w:val="000000"/>
                <w:kern w:val="0"/>
                <w:sz w:val="21"/>
                <w:szCs w:val="21"/>
                <w:lang w:bidi="ar"/>
              </w:rPr>
            </w:pPr>
            <w:r>
              <w:rPr>
                <w:rFonts w:hint="eastAsia" w:cs="Times New Roman"/>
                <w:b/>
                <w:bCs/>
                <w:color w:val="000000"/>
                <w:kern w:val="0"/>
                <w:sz w:val="21"/>
                <w:szCs w:val="21"/>
                <w:lang w:bidi="ar"/>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8" w:type="dxa"/>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w:t>
            </w:r>
          </w:p>
        </w:tc>
        <w:tc>
          <w:tcPr>
            <w:tcW w:w="3315" w:type="dxa"/>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保育区</w:t>
            </w:r>
          </w:p>
        </w:tc>
        <w:tc>
          <w:tcPr>
            <w:tcW w:w="2443" w:type="dxa"/>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7316.32</w:t>
            </w:r>
          </w:p>
        </w:tc>
        <w:tc>
          <w:tcPr>
            <w:tcW w:w="2074" w:type="dxa"/>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92.1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8" w:type="dxa"/>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2</w:t>
            </w:r>
          </w:p>
        </w:tc>
        <w:tc>
          <w:tcPr>
            <w:tcW w:w="3315" w:type="dxa"/>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合理利用区</w:t>
            </w:r>
          </w:p>
        </w:tc>
        <w:tc>
          <w:tcPr>
            <w:tcW w:w="2443" w:type="dxa"/>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628.20</w:t>
            </w:r>
          </w:p>
        </w:tc>
        <w:tc>
          <w:tcPr>
            <w:tcW w:w="2074" w:type="dxa"/>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3" w:type="dxa"/>
            <w:gridSpan w:val="2"/>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合计</w:t>
            </w:r>
          </w:p>
        </w:tc>
        <w:tc>
          <w:tcPr>
            <w:tcW w:w="2443" w:type="dxa"/>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7944.52</w:t>
            </w:r>
          </w:p>
        </w:tc>
        <w:tc>
          <w:tcPr>
            <w:tcW w:w="2074" w:type="dxa"/>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100</w:t>
            </w:r>
          </w:p>
        </w:tc>
      </w:tr>
    </w:tbl>
    <w:p>
      <w:pPr>
        <w:spacing w:before="197" w:beforeLines="50"/>
        <w:ind w:firstLine="560"/>
        <w:rPr>
          <w:rFonts w:ascii="仿宋" w:hAnsi="仿宋"/>
          <w:szCs w:val="28"/>
          <w:highlight w:val="yellow"/>
        </w:rPr>
      </w:pPr>
      <w:r>
        <w:rPr>
          <w:rFonts w:hint="eastAsia" w:cs="Times New Roman"/>
          <w:szCs w:val="28"/>
          <w:lang w:bidi="ar"/>
        </w:rPr>
        <w:t>在本次功能区划调整中，功能区调整分为如下三种情况</w:t>
      </w:r>
      <w:r>
        <w:rPr>
          <w:rFonts w:hint="eastAsia" w:ascii="仿宋" w:hAnsi="仿宋"/>
          <w:szCs w:val="28"/>
        </w:rPr>
        <w:t>：</w:t>
      </w:r>
    </w:p>
    <w:p>
      <w:pPr>
        <w:ind w:firstLine="562"/>
        <w:rPr>
          <w:rFonts w:cs="Times New Roman"/>
          <w:b/>
          <w:bCs/>
          <w:szCs w:val="28"/>
          <w:lang w:bidi="ar"/>
        </w:rPr>
      </w:pPr>
      <w:r>
        <w:rPr>
          <w:rFonts w:hint="eastAsia" w:cs="Times New Roman"/>
          <w:b/>
          <w:bCs/>
          <w:szCs w:val="28"/>
          <w:lang w:bidi="ar"/>
        </w:rPr>
        <w:t>①调出湿地公园功能区范围</w:t>
      </w:r>
    </w:p>
    <w:p>
      <w:pPr>
        <w:pStyle w:val="16"/>
        <w:ind w:firstLine="560"/>
        <w:rPr>
          <w:rFonts w:cs="Times New Roman"/>
          <w:lang w:bidi="ar"/>
        </w:rPr>
      </w:pPr>
      <w:r>
        <w:rPr>
          <w:rFonts w:hint="eastAsia" w:cs="Times New Roman"/>
          <w:szCs w:val="28"/>
          <w:lang w:bidi="ar"/>
        </w:rPr>
        <w:t>方案调出湿地公园范围总面积为163.90公顷，其中从合理利用区调出面积47.02公顷，从保育区调出面积116.88公顷。</w:t>
      </w:r>
    </w:p>
    <w:p>
      <w:pPr>
        <w:ind w:firstLine="562"/>
        <w:rPr>
          <w:rFonts w:cs="Times New Roman"/>
          <w:b/>
          <w:bCs/>
          <w:szCs w:val="28"/>
          <w:lang w:bidi="ar"/>
        </w:rPr>
      </w:pPr>
      <w:r>
        <w:rPr>
          <w:rFonts w:hint="eastAsia" w:cs="Times New Roman"/>
          <w:b/>
          <w:bCs/>
          <w:szCs w:val="28"/>
          <w:lang w:bidi="ar"/>
        </w:rPr>
        <w:t>②调入湿地公园功能区范围</w:t>
      </w:r>
    </w:p>
    <w:p>
      <w:pPr>
        <w:ind w:firstLine="560"/>
        <w:rPr>
          <w:rFonts w:cs="Times New Roman"/>
          <w:szCs w:val="28"/>
          <w:lang w:bidi="ar"/>
        </w:rPr>
      </w:pPr>
      <w:r>
        <w:rPr>
          <w:rFonts w:hint="eastAsia" w:cs="Times New Roman"/>
          <w:szCs w:val="28"/>
          <w:lang w:bidi="ar"/>
        </w:rPr>
        <w:t>本次功能区划调整从湿地公园外调入面积1605.96公顷，占湿地公园总面积的20.21%，其中调入合理利用区面积42.63公顷；调入保育区面积1563.33公顷。</w:t>
      </w:r>
    </w:p>
    <w:p>
      <w:pPr>
        <w:ind w:firstLine="562"/>
        <w:rPr>
          <w:rFonts w:cs="Times New Roman"/>
          <w:b/>
          <w:bCs/>
          <w:szCs w:val="28"/>
          <w:lang w:bidi="ar"/>
        </w:rPr>
      </w:pPr>
      <w:r>
        <w:rPr>
          <w:rFonts w:hint="eastAsia" w:cs="Times New Roman"/>
          <w:b/>
          <w:bCs/>
          <w:szCs w:val="28"/>
          <w:lang w:bidi="ar"/>
        </w:rPr>
        <w:t>③保育区调整为合理利用区</w:t>
      </w:r>
    </w:p>
    <w:p>
      <w:pPr>
        <w:pStyle w:val="16"/>
        <w:keepNext w:val="0"/>
        <w:keepLines w:val="0"/>
        <w:pageBreakBefore w:val="0"/>
        <w:widowControl w:val="0"/>
        <w:kinsoku/>
        <w:wordWrap/>
        <w:overflowPunct/>
        <w:topLinePunct w:val="0"/>
        <w:autoSpaceDE/>
        <w:autoSpaceDN/>
        <w:bidi w:val="0"/>
        <w:adjustRightInd/>
        <w:snapToGrid/>
        <w:spacing w:after="0"/>
        <w:ind w:firstLine="560"/>
        <w:textAlignment w:val="auto"/>
        <w:rPr>
          <w:rFonts w:cs="Times New Roman"/>
          <w:lang w:bidi="ar"/>
        </w:rPr>
      </w:pPr>
      <w:r>
        <w:rPr>
          <w:rFonts w:hint="eastAsia" w:cs="Times New Roman"/>
          <w:szCs w:val="28"/>
          <w:lang w:bidi="ar"/>
        </w:rPr>
        <w:t>在本次功能区划调整中，保育区有1792.21公顷调整为合理利用区。</w:t>
      </w:r>
    </w:p>
    <w:p>
      <w:pPr>
        <w:pStyle w:val="16"/>
        <w:keepNext w:val="0"/>
        <w:keepLines w:val="0"/>
        <w:pageBreakBefore w:val="0"/>
        <w:widowControl w:val="0"/>
        <w:kinsoku/>
        <w:wordWrap/>
        <w:overflowPunct/>
        <w:topLinePunct w:val="0"/>
        <w:autoSpaceDE/>
        <w:autoSpaceDN/>
        <w:bidi w:val="0"/>
        <w:adjustRightInd/>
        <w:snapToGrid/>
        <w:spacing w:after="0"/>
        <w:ind w:firstLine="560"/>
        <w:textAlignment w:val="auto"/>
        <w:rPr>
          <w:rFonts w:cs="Times New Roman"/>
          <w:szCs w:val="28"/>
        </w:rPr>
      </w:pPr>
      <w:r>
        <w:rPr>
          <w:rFonts w:hint="eastAsia" w:cs="Times New Roman"/>
          <w:szCs w:val="28"/>
          <w:lang w:bidi="ar"/>
        </w:rPr>
        <w:t>调整后湖南石门仙阳湖国家湿地公园总面积为9386.58公顷，其中</w:t>
      </w:r>
      <w:r>
        <w:rPr>
          <w:rFonts w:hint="eastAsia" w:cs="Times New Roman"/>
          <w:lang w:eastAsia="zh-CN"/>
        </w:rPr>
        <w:t>生态</w:t>
      </w:r>
      <w:r>
        <w:rPr>
          <w:rFonts w:hint="eastAsia" w:cs="Times New Roman"/>
          <w:szCs w:val="28"/>
          <w:lang w:bidi="ar"/>
        </w:rPr>
        <w:t>保育区面积6970.56公顷，合理利用区面积2416.02公顷。详见</w:t>
      </w:r>
      <w:r>
        <w:rPr>
          <w:rFonts w:hint="eastAsia" w:cs="Times New Roman"/>
          <w:szCs w:val="28"/>
          <w:lang w:eastAsia="zh-CN" w:bidi="ar"/>
        </w:rPr>
        <w:t>下</w:t>
      </w:r>
      <w:r>
        <w:rPr>
          <w:rFonts w:hint="eastAsia" w:cs="Times New Roman"/>
          <w:szCs w:val="28"/>
          <w:lang w:bidi="ar"/>
        </w:rPr>
        <w:t>表。</w:t>
      </w:r>
    </w:p>
    <w:p>
      <w:pPr>
        <w:pStyle w:val="14"/>
        <w:spacing w:before="197" w:after="0" w:afterLines="0"/>
        <w:rPr>
          <w:rFonts w:ascii="黑体" w:hAnsi="黑体" w:cs="黑体"/>
          <w:sz w:val="24"/>
          <w:szCs w:val="24"/>
        </w:rPr>
      </w:pPr>
      <w:r>
        <w:rPr>
          <w:rFonts w:hint="eastAsia" w:ascii="黑体" w:hAnsi="黑体" w:cs="黑体"/>
          <w:sz w:val="24"/>
          <w:szCs w:val="24"/>
        </w:rPr>
        <w:t>功能区划调入调出面积一览表</w:t>
      </w:r>
    </w:p>
    <w:p>
      <w:pPr>
        <w:pStyle w:val="14"/>
        <w:tabs>
          <w:tab w:val="left" w:pos="7652"/>
        </w:tabs>
        <w:spacing w:before="0" w:beforeLines="0" w:after="0" w:afterLines="0"/>
        <w:jc w:val="right"/>
        <w:rPr>
          <w:rFonts w:ascii="仿宋" w:hAnsi="仿宋" w:eastAsia="仿宋" w:cs="仿宋"/>
          <w:szCs w:val="21"/>
        </w:rPr>
      </w:pPr>
      <w:r>
        <w:rPr>
          <w:rFonts w:hint="eastAsia" w:ascii="仿宋" w:hAnsi="仿宋" w:eastAsia="仿宋" w:cs="仿宋"/>
          <w:szCs w:val="21"/>
        </w:rPr>
        <w:t>单位：公顷</w:t>
      </w:r>
    </w:p>
    <w:tbl>
      <w:tblPr>
        <w:tblStyle w:val="32"/>
        <w:tblW w:w="8918" w:type="dxa"/>
        <w:jc w:val="center"/>
        <w:tblLayout w:type="autofit"/>
        <w:tblCellMar>
          <w:top w:w="0" w:type="dxa"/>
          <w:left w:w="108" w:type="dxa"/>
          <w:bottom w:w="0" w:type="dxa"/>
          <w:right w:w="108" w:type="dxa"/>
        </w:tblCellMar>
      </w:tblPr>
      <w:tblGrid>
        <w:gridCol w:w="767"/>
        <w:gridCol w:w="1496"/>
        <w:gridCol w:w="1134"/>
        <w:gridCol w:w="1276"/>
        <w:gridCol w:w="1134"/>
        <w:gridCol w:w="1800"/>
        <w:gridCol w:w="1311"/>
      </w:tblGrid>
      <w:tr>
        <w:tblPrEx>
          <w:tblCellMar>
            <w:top w:w="0" w:type="dxa"/>
            <w:left w:w="108" w:type="dxa"/>
            <w:bottom w:w="0" w:type="dxa"/>
            <w:right w:w="108" w:type="dxa"/>
          </w:tblCellMar>
        </w:tblPrEx>
        <w:trPr>
          <w:trHeight w:val="822" w:hRule="atLeast"/>
          <w:jc w:val="center"/>
        </w:trPr>
        <w:tc>
          <w:tcPr>
            <w:tcW w:w="7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b/>
                <w:bCs/>
                <w:color w:val="000000"/>
                <w:kern w:val="0"/>
                <w:sz w:val="21"/>
                <w:szCs w:val="21"/>
                <w:lang w:bidi="ar"/>
              </w:rPr>
            </w:pPr>
            <w:r>
              <w:rPr>
                <w:rFonts w:hint="eastAsia" w:cs="Times New Roman"/>
                <w:b/>
                <w:bCs/>
                <w:color w:val="000000"/>
                <w:kern w:val="0"/>
                <w:sz w:val="21"/>
                <w:szCs w:val="21"/>
                <w:lang w:bidi="ar"/>
              </w:rPr>
              <w:t>序号</w:t>
            </w:r>
          </w:p>
        </w:tc>
        <w:tc>
          <w:tcPr>
            <w:tcW w:w="14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b/>
                <w:bCs/>
                <w:color w:val="000000"/>
                <w:kern w:val="0"/>
                <w:sz w:val="21"/>
                <w:szCs w:val="21"/>
                <w:lang w:bidi="ar"/>
              </w:rPr>
            </w:pPr>
            <w:r>
              <w:rPr>
                <w:rFonts w:hint="eastAsia" w:cs="Times New Roman"/>
                <w:b/>
                <w:bCs/>
                <w:color w:val="000000"/>
                <w:kern w:val="0"/>
                <w:sz w:val="21"/>
                <w:szCs w:val="21"/>
                <w:lang w:bidi="ar"/>
              </w:rPr>
              <w:t>功能区</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b/>
                <w:bCs/>
                <w:color w:val="000000"/>
                <w:kern w:val="0"/>
                <w:sz w:val="21"/>
                <w:szCs w:val="21"/>
                <w:lang w:bidi="ar"/>
              </w:rPr>
            </w:pPr>
            <w:r>
              <w:rPr>
                <w:rFonts w:hint="eastAsia" w:cs="Times New Roman"/>
                <w:b/>
                <w:bCs/>
                <w:color w:val="000000"/>
                <w:kern w:val="0"/>
                <w:sz w:val="21"/>
                <w:szCs w:val="21"/>
                <w:lang w:bidi="ar"/>
              </w:rPr>
              <w:t>原面积</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b/>
                <w:bCs/>
                <w:color w:val="000000"/>
                <w:kern w:val="0"/>
                <w:sz w:val="21"/>
                <w:szCs w:val="21"/>
                <w:lang w:bidi="ar"/>
              </w:rPr>
            </w:pPr>
            <w:r>
              <w:rPr>
                <w:rFonts w:hint="eastAsia" w:cs="Times New Roman"/>
                <w:b/>
                <w:bCs/>
                <w:color w:val="000000"/>
                <w:kern w:val="0"/>
                <w:sz w:val="21"/>
                <w:szCs w:val="21"/>
                <w:lang w:bidi="ar"/>
              </w:rPr>
              <w:t>调出面积</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b/>
                <w:bCs/>
                <w:color w:val="000000"/>
                <w:kern w:val="0"/>
                <w:sz w:val="21"/>
                <w:szCs w:val="21"/>
                <w:lang w:bidi="ar"/>
              </w:rPr>
            </w:pPr>
            <w:r>
              <w:rPr>
                <w:rFonts w:hint="eastAsia" w:cs="Times New Roman"/>
                <w:b/>
                <w:bCs/>
                <w:color w:val="000000"/>
                <w:kern w:val="0"/>
                <w:sz w:val="21"/>
                <w:szCs w:val="21"/>
                <w:lang w:bidi="ar"/>
              </w:rPr>
              <w:t>调入面积</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b/>
                <w:bCs/>
                <w:color w:val="000000"/>
                <w:kern w:val="0"/>
                <w:sz w:val="21"/>
                <w:szCs w:val="21"/>
                <w:lang w:bidi="ar"/>
              </w:rPr>
            </w:pPr>
            <w:r>
              <w:rPr>
                <w:rFonts w:hint="eastAsia" w:cs="Times New Roman"/>
                <w:b/>
                <w:bCs/>
                <w:color w:val="000000"/>
                <w:kern w:val="0"/>
                <w:sz w:val="21"/>
                <w:szCs w:val="21"/>
                <w:lang w:bidi="ar"/>
              </w:rPr>
              <w:t>功能区调整面积</w:t>
            </w:r>
          </w:p>
        </w:tc>
        <w:tc>
          <w:tcPr>
            <w:tcW w:w="13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b/>
                <w:bCs/>
                <w:color w:val="000000"/>
                <w:kern w:val="0"/>
                <w:sz w:val="21"/>
                <w:szCs w:val="21"/>
                <w:lang w:bidi="ar"/>
              </w:rPr>
            </w:pPr>
            <w:r>
              <w:rPr>
                <w:rFonts w:hint="eastAsia" w:cs="Times New Roman"/>
                <w:b/>
                <w:bCs/>
                <w:color w:val="000000"/>
                <w:kern w:val="0"/>
                <w:sz w:val="21"/>
                <w:szCs w:val="21"/>
                <w:lang w:bidi="ar"/>
              </w:rPr>
              <w:t>调整后面积</w:t>
            </w:r>
          </w:p>
        </w:tc>
      </w:tr>
      <w:tr>
        <w:tblPrEx>
          <w:tblCellMar>
            <w:top w:w="0" w:type="dxa"/>
            <w:left w:w="108" w:type="dxa"/>
            <w:bottom w:w="0" w:type="dxa"/>
            <w:right w:w="108" w:type="dxa"/>
          </w:tblCellMar>
        </w:tblPrEx>
        <w:trPr>
          <w:trHeight w:val="454" w:hRule="atLeast"/>
          <w:jc w:val="center"/>
        </w:trPr>
        <w:tc>
          <w:tcPr>
            <w:tcW w:w="7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w:t>
            </w:r>
          </w:p>
        </w:tc>
        <w:tc>
          <w:tcPr>
            <w:tcW w:w="14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eastAsia="zh-CN" w:bidi="ar"/>
              </w:rPr>
              <w:t>生态</w:t>
            </w:r>
            <w:r>
              <w:rPr>
                <w:rFonts w:hint="eastAsia" w:cs="Times New Roman"/>
                <w:color w:val="000000"/>
                <w:kern w:val="0"/>
                <w:sz w:val="21"/>
                <w:szCs w:val="21"/>
                <w:lang w:bidi="ar"/>
              </w:rPr>
              <w:t>保育区</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7316.32</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-116.88</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r>
              <w:rPr>
                <w:rFonts w:cs="Times New Roman"/>
                <w:color w:val="000000"/>
                <w:kern w:val="0"/>
                <w:sz w:val="21"/>
                <w:szCs w:val="21"/>
                <w:lang w:bidi="ar"/>
              </w:rPr>
              <w:t>1563.33</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r>
              <w:rPr>
                <w:rFonts w:cs="Times New Roman"/>
                <w:color w:val="000000"/>
                <w:kern w:val="0"/>
                <w:sz w:val="21"/>
                <w:szCs w:val="21"/>
                <w:lang w:bidi="ar"/>
              </w:rPr>
              <w:t>-1792.21</w:t>
            </w:r>
          </w:p>
        </w:tc>
        <w:tc>
          <w:tcPr>
            <w:tcW w:w="13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r>
              <w:rPr>
                <w:rFonts w:cs="Times New Roman"/>
                <w:color w:val="000000"/>
                <w:kern w:val="0"/>
                <w:sz w:val="21"/>
                <w:szCs w:val="21"/>
                <w:lang w:bidi="ar"/>
              </w:rPr>
              <w:t>6970.56</w:t>
            </w:r>
          </w:p>
        </w:tc>
      </w:tr>
      <w:tr>
        <w:tblPrEx>
          <w:tblCellMar>
            <w:top w:w="0" w:type="dxa"/>
            <w:left w:w="108" w:type="dxa"/>
            <w:bottom w:w="0" w:type="dxa"/>
            <w:right w:w="108" w:type="dxa"/>
          </w:tblCellMar>
        </w:tblPrEx>
        <w:trPr>
          <w:trHeight w:val="454" w:hRule="atLeast"/>
          <w:jc w:val="center"/>
        </w:trPr>
        <w:tc>
          <w:tcPr>
            <w:tcW w:w="7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2</w:t>
            </w:r>
          </w:p>
        </w:tc>
        <w:tc>
          <w:tcPr>
            <w:tcW w:w="14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合理利用区</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628.2</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-47.02</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r>
              <w:rPr>
                <w:rFonts w:cs="Times New Roman"/>
                <w:color w:val="000000"/>
                <w:kern w:val="0"/>
                <w:sz w:val="21"/>
                <w:szCs w:val="21"/>
                <w:lang w:bidi="ar"/>
              </w:rPr>
              <w:t>42.63</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r>
              <w:rPr>
                <w:rFonts w:cs="Times New Roman"/>
                <w:color w:val="000000"/>
                <w:kern w:val="0"/>
                <w:sz w:val="21"/>
                <w:szCs w:val="21"/>
                <w:lang w:bidi="ar"/>
              </w:rPr>
              <w:t>1792.21</w:t>
            </w:r>
          </w:p>
        </w:tc>
        <w:tc>
          <w:tcPr>
            <w:tcW w:w="13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r>
              <w:rPr>
                <w:rFonts w:cs="Times New Roman"/>
                <w:color w:val="000000"/>
                <w:kern w:val="0"/>
                <w:sz w:val="21"/>
                <w:szCs w:val="21"/>
                <w:lang w:bidi="ar"/>
              </w:rPr>
              <w:t>2416.02</w:t>
            </w:r>
          </w:p>
        </w:tc>
      </w:tr>
      <w:tr>
        <w:tblPrEx>
          <w:tblCellMar>
            <w:top w:w="0" w:type="dxa"/>
            <w:left w:w="108" w:type="dxa"/>
            <w:bottom w:w="0" w:type="dxa"/>
            <w:right w:w="108" w:type="dxa"/>
          </w:tblCellMar>
        </w:tblPrEx>
        <w:trPr>
          <w:trHeight w:val="454" w:hRule="atLeast"/>
          <w:jc w:val="center"/>
        </w:trPr>
        <w:tc>
          <w:tcPr>
            <w:tcW w:w="226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合计</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7944.52</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-163.90</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1605.96</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w:t>
            </w:r>
          </w:p>
        </w:tc>
        <w:tc>
          <w:tcPr>
            <w:tcW w:w="13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r>
              <w:rPr>
                <w:rFonts w:cs="Times New Roman"/>
                <w:color w:val="000000"/>
                <w:kern w:val="0"/>
                <w:sz w:val="21"/>
                <w:szCs w:val="21"/>
                <w:lang w:bidi="ar"/>
              </w:rPr>
              <w:t>9386.58</w:t>
            </w:r>
          </w:p>
        </w:tc>
      </w:tr>
    </w:tbl>
    <w:p>
      <w:pPr>
        <w:spacing w:before="197" w:beforeLines="50"/>
        <w:ind w:firstLine="600"/>
        <w:rPr>
          <w:rFonts w:ascii="黑体" w:hAnsi="黑体" w:eastAsia="黑体" w:cs="黑体"/>
          <w:sz w:val="30"/>
          <w:szCs w:val="30"/>
        </w:rPr>
      </w:pPr>
      <w:bookmarkStart w:id="17" w:name="_Toc114084624"/>
      <w:bookmarkStart w:id="18" w:name="_Toc14702"/>
      <w:bookmarkStart w:id="19" w:name="_Toc113925427"/>
      <w:bookmarkStart w:id="20" w:name="_Toc113925679"/>
      <w:r>
        <w:rPr>
          <w:rFonts w:hint="eastAsia" w:ascii="黑体" w:hAnsi="黑体" w:eastAsia="黑体" w:cs="黑体"/>
          <w:sz w:val="30"/>
          <w:szCs w:val="30"/>
        </w:rPr>
        <w:t>四、调整综合评价</w:t>
      </w:r>
      <w:bookmarkEnd w:id="17"/>
      <w:bookmarkEnd w:id="18"/>
      <w:bookmarkEnd w:id="19"/>
      <w:bookmarkEnd w:id="20"/>
    </w:p>
    <w:p>
      <w:pPr>
        <w:ind w:firstLine="562"/>
        <w:rPr>
          <w:rFonts w:ascii="仿宋" w:hAnsi="仿宋" w:cs="仿宋"/>
          <w:b/>
          <w:bCs/>
          <w:szCs w:val="28"/>
        </w:rPr>
      </w:pPr>
      <w:r>
        <w:rPr>
          <w:rFonts w:ascii="仿宋" w:hAnsi="仿宋" w:cs="仿宋"/>
          <w:b/>
          <w:bCs/>
          <w:szCs w:val="28"/>
        </w:rPr>
        <w:t xml:space="preserve">1. </w:t>
      </w:r>
      <w:r>
        <w:rPr>
          <w:rFonts w:hint="eastAsia" w:ascii="仿宋" w:hAnsi="仿宋" w:cs="仿宋"/>
          <w:b/>
          <w:bCs/>
          <w:szCs w:val="28"/>
        </w:rPr>
        <w:t>调整对湿地生态系统的影响</w:t>
      </w:r>
    </w:p>
    <w:p>
      <w:pPr>
        <w:ind w:firstLine="560"/>
        <w:rPr>
          <w:rFonts w:cs="Times New Roman"/>
          <w:szCs w:val="28"/>
        </w:rPr>
      </w:pPr>
      <w:r>
        <w:rPr>
          <w:rFonts w:hint="eastAsia" w:cs="Times New Roman"/>
          <w:szCs w:val="28"/>
        </w:rPr>
        <w:t>（1）调整对湿地面积的影响</w:t>
      </w:r>
    </w:p>
    <w:p>
      <w:pPr>
        <w:ind w:firstLine="560"/>
        <w:rPr>
          <w:rFonts w:cs="Times New Roman"/>
          <w:szCs w:val="28"/>
        </w:rPr>
      </w:pPr>
      <w:r>
        <w:rPr>
          <w:rFonts w:hint="eastAsia" w:cs="Times New Roman"/>
          <w:szCs w:val="28"/>
        </w:rPr>
        <w:t>湿地公园调整后，湿地总面积减少了23.36公顷，占调整后湿地总面积的0.25%。调出区域为湿地公园边界区域以及城镇周边区域，不涉及湿地公园主体皂市水库，对湿地公园生物多样性和湿地生态系统不存在影响。</w:t>
      </w:r>
    </w:p>
    <w:p>
      <w:pPr>
        <w:ind w:firstLine="560"/>
        <w:rPr>
          <w:rFonts w:cs="Times New Roman"/>
          <w:szCs w:val="28"/>
        </w:rPr>
      </w:pPr>
      <w:r>
        <w:rPr>
          <w:rFonts w:hint="eastAsia" w:cs="Times New Roman"/>
          <w:szCs w:val="28"/>
        </w:rPr>
        <w:t>（2）调整对湿地类型的影响</w:t>
      </w:r>
    </w:p>
    <w:p>
      <w:pPr>
        <w:ind w:firstLine="560"/>
        <w:rPr>
          <w:rFonts w:cs="Times New Roman"/>
          <w:szCs w:val="28"/>
        </w:rPr>
      </w:pPr>
      <w:r>
        <w:rPr>
          <w:rFonts w:hint="eastAsia" w:cs="Times New Roman"/>
          <w:szCs w:val="28"/>
        </w:rPr>
        <w:t>湿地公园调整前后的湿地类没有变化，均为河流湿地、沼泽湿地、人工湿地；因此，本次湿地公园范围与功能区的调整对湿地类型没有影响。</w:t>
      </w:r>
    </w:p>
    <w:p>
      <w:pPr>
        <w:ind w:firstLine="562"/>
        <w:rPr>
          <w:rFonts w:cs="Times New Roman"/>
          <w:b/>
          <w:bCs/>
          <w:szCs w:val="28"/>
        </w:rPr>
      </w:pPr>
      <w:r>
        <w:rPr>
          <w:rFonts w:cs="Times New Roman"/>
          <w:b/>
          <w:bCs/>
          <w:szCs w:val="28"/>
        </w:rPr>
        <w:t xml:space="preserve">2. </w:t>
      </w:r>
      <w:r>
        <w:rPr>
          <w:rFonts w:hint="eastAsia" w:cs="Times New Roman"/>
          <w:b/>
          <w:bCs/>
          <w:szCs w:val="28"/>
        </w:rPr>
        <w:t>调整对重点保护野生动植物的影响</w:t>
      </w:r>
    </w:p>
    <w:p>
      <w:pPr>
        <w:ind w:firstLine="560"/>
        <w:rPr>
          <w:rFonts w:cs="Times New Roman"/>
          <w:szCs w:val="28"/>
        </w:rPr>
      </w:pPr>
      <w:r>
        <w:rPr>
          <w:rFonts w:hint="eastAsia" w:cs="Times New Roman"/>
          <w:szCs w:val="28"/>
        </w:rPr>
        <w:t>（1）调整对重点保护野生动物的影响</w:t>
      </w:r>
    </w:p>
    <w:p>
      <w:pPr>
        <w:ind w:firstLine="560"/>
        <w:rPr>
          <w:rFonts w:cs="Times New Roman"/>
          <w:szCs w:val="28"/>
        </w:rPr>
      </w:pPr>
      <w:r>
        <w:rPr>
          <w:rFonts w:hint="eastAsia" w:cs="Times New Roman"/>
          <w:szCs w:val="28"/>
        </w:rPr>
        <w:t>仙阳湖国家湿地公园及周边区域优越的自然条件，完整的生态系统，为野生动物的繁衍提供了丰富的食物和理想的栖息场所。根据《湖南石门仙阳湖国家湿地公园总体规划（2014—2020年）》，并参考历史调查记录、科学考察报告等，仙阳湖国家湿地公园有野生脊椎动物共有5纲27目74科215种。其中，鱼纲4目10科43种；两栖纲1目4科10种；爬行纲3目7科22种；鸟纲15目45科127种；哺乳纲4目8科13种。</w:t>
      </w:r>
    </w:p>
    <w:p>
      <w:pPr>
        <w:ind w:firstLine="560"/>
        <w:rPr>
          <w:rFonts w:cs="Times New Roman"/>
          <w:szCs w:val="28"/>
        </w:rPr>
      </w:pPr>
      <w:r>
        <w:rPr>
          <w:rFonts w:hint="eastAsia" w:cs="Times New Roman"/>
          <w:szCs w:val="28"/>
        </w:rPr>
        <w:t>本次调出公园范围都是城市建成区、建制镇、基本农田、成片人工集体商品林，人为活动频繁，没有国家重点保护动物，普通动物也很少见。</w:t>
      </w:r>
      <w:bookmarkStart w:id="21" w:name="_Hlk150508793"/>
      <w:r>
        <w:rPr>
          <w:rFonts w:hint="eastAsia" w:cs="Times New Roman"/>
          <w:szCs w:val="28"/>
        </w:rPr>
        <w:t>因此，</w:t>
      </w:r>
      <w:bookmarkEnd w:id="21"/>
      <w:r>
        <w:rPr>
          <w:rFonts w:hint="eastAsia" w:cs="Times New Roman"/>
          <w:szCs w:val="28"/>
        </w:rPr>
        <w:t>功能区优化组合，不会影响动物的栖息，更有利于明确各功能区的目标定位、保护措施。综上所述，本次优化调整方案不会对湿地公园范围内的野生动物产生影响，通过宣传教育，提高人们保护动物的热情，将会更加有利于仙阳湖国家湿地公园内野生动物的保护。</w:t>
      </w:r>
    </w:p>
    <w:p>
      <w:pPr>
        <w:ind w:firstLine="560"/>
        <w:rPr>
          <w:rFonts w:cs="Times New Roman"/>
          <w:szCs w:val="28"/>
        </w:rPr>
      </w:pPr>
      <w:r>
        <w:rPr>
          <w:rFonts w:hint="eastAsia" w:cs="Times New Roman"/>
          <w:szCs w:val="28"/>
        </w:rPr>
        <w:t>（2）调整对重点保护野生植物的影响</w:t>
      </w:r>
    </w:p>
    <w:p>
      <w:pPr>
        <w:ind w:firstLine="560"/>
        <w:rPr>
          <w:rFonts w:cs="Times New Roman"/>
          <w:szCs w:val="28"/>
        </w:rPr>
      </w:pPr>
      <w:r>
        <w:rPr>
          <w:rFonts w:hint="eastAsia" w:cs="Times New Roman"/>
          <w:szCs w:val="28"/>
        </w:rPr>
        <w:t>仙阳湖国家湿地公园植物种类较多，湿地植物资源丰富。经调查统计，湿地公园及周边共生长分布有维管植物133科470属804种，其中：蕨类植物14科22属28种；种子植物119科448属776种，包括被子植物115科440属766种，裸子植物4科8属10种。种数比较多的科以菊科（Compositae）、禾本科（Gramineae）、莎草科（Cyperaceae）、蔷薇科(Rosaceae)、蝶形花(Papilionaceae）等为优势科。</w:t>
      </w:r>
    </w:p>
    <w:p>
      <w:pPr>
        <w:ind w:firstLine="560"/>
        <w:rPr>
          <w:rFonts w:cs="Times New Roman"/>
          <w:szCs w:val="28"/>
        </w:rPr>
      </w:pPr>
      <w:r>
        <w:rPr>
          <w:rFonts w:hint="eastAsia" w:cs="Times New Roman"/>
          <w:szCs w:val="28"/>
        </w:rPr>
        <w:t>本次优化调整方案，调出的地块，人为活动较多，对湿地生态系统干扰较大，物种为常见种和广布种，没有国家重点保护植物分布，也没有狭域种和稀有种分布；而功能区的调整优化组合，不会对湿地公园范围内的植物产生负面影响。综上所述，本次优化调整方案对湿地公园内野生植物没有影响，反而将更加有利于仙阳湖国家湿地公园野生植物的保护。</w:t>
      </w:r>
    </w:p>
    <w:p>
      <w:pPr>
        <w:ind w:firstLine="562"/>
        <w:rPr>
          <w:rFonts w:cs="Times New Roman"/>
          <w:b/>
          <w:bCs/>
          <w:szCs w:val="28"/>
        </w:rPr>
      </w:pPr>
      <w:r>
        <w:rPr>
          <w:rFonts w:cs="Times New Roman"/>
          <w:b/>
          <w:bCs/>
          <w:szCs w:val="28"/>
        </w:rPr>
        <w:t xml:space="preserve">3. </w:t>
      </w:r>
      <w:r>
        <w:rPr>
          <w:rFonts w:hint="eastAsia" w:cs="Times New Roman"/>
          <w:b/>
          <w:bCs/>
          <w:szCs w:val="28"/>
        </w:rPr>
        <w:t>调整对湿地公园管护工作的影响</w:t>
      </w:r>
    </w:p>
    <w:p>
      <w:pPr>
        <w:pStyle w:val="16"/>
        <w:ind w:firstLine="560"/>
      </w:pPr>
      <w:r>
        <w:rPr>
          <w:rFonts w:hint="eastAsia"/>
        </w:rPr>
        <w:t>仙阳湖国家湿地公园调整后，有利于维护湿地公园与周边社区的稳定，协调湿地公园与周边社区群众的利益关系，并且有利于解决周边社区的民生问题，促进湿地公园与社区关系的和谐发展，从而为湿地公园管护提供良好的外部环境，更加有利于保护管理工作的开展，有利于</w:t>
      </w:r>
      <w:bookmarkStart w:id="22" w:name="_Hlk150508838"/>
      <w:r>
        <w:rPr>
          <w:rFonts w:hint="eastAsia"/>
        </w:rPr>
        <w:t>开展生态</w:t>
      </w:r>
      <w:bookmarkEnd w:id="22"/>
      <w:r>
        <w:rPr>
          <w:rFonts w:hint="eastAsia"/>
        </w:rPr>
        <w:t>价值较高区域的日常自然资源管护、巡护工作，能有效提升自然资源管护的效率。湿地公园优化调整，对现有的管护设施不会造成影响。湿地公园调整不会对当地现有的基础设施如公路等产生影响，也不会对居民的生产生活产生影响，因此就调整本身而言，不会对当地社会经济产生影响。</w:t>
      </w:r>
    </w:p>
    <w:p>
      <w:pPr>
        <w:ind w:firstLine="562"/>
        <w:rPr>
          <w:rFonts w:cs="Times New Roman"/>
          <w:b/>
          <w:bCs/>
          <w:szCs w:val="28"/>
        </w:rPr>
      </w:pPr>
      <w:r>
        <w:rPr>
          <w:rFonts w:cs="Times New Roman"/>
          <w:b/>
          <w:bCs/>
          <w:szCs w:val="28"/>
        </w:rPr>
        <w:t xml:space="preserve">4. </w:t>
      </w:r>
      <w:r>
        <w:rPr>
          <w:rFonts w:hint="eastAsia" w:cs="Times New Roman"/>
          <w:b/>
          <w:bCs/>
          <w:szCs w:val="28"/>
        </w:rPr>
        <w:t>调整对当地社会经济的影响</w:t>
      </w:r>
    </w:p>
    <w:p>
      <w:pPr>
        <w:pStyle w:val="16"/>
        <w:ind w:firstLine="560"/>
      </w:pPr>
      <w:r>
        <w:rPr>
          <w:rFonts w:hint="eastAsia" w:cs="Times New Roman"/>
          <w:szCs w:val="28"/>
          <w:lang w:bidi="ar"/>
        </w:rPr>
        <w:t>仙阳湖国家湿地公园调整前，生物多样性富集区域和经济发展落后的地区具有高度的重合性。湿地公园建立在一定程度上限制了当地居民的生活方式，保护和发展之间的矛盾和冲突日益凸显。调整后，有利于与湿地公园相适应的基础设施和生态型项目的开展。首先，一些基础设施建设项目通过环境影响评价论证后，可得到顺利实施；其次，仙阳湖旅游资源丰富，调整后可适度开展生态旅游，丰富旅游产品，对当地经济发展起到促进作用。</w:t>
      </w:r>
    </w:p>
    <w:p>
      <w:pPr>
        <w:ind w:firstLine="562"/>
        <w:rPr>
          <w:rFonts w:cs="Times New Roman"/>
          <w:b/>
          <w:bCs/>
          <w:szCs w:val="28"/>
        </w:rPr>
      </w:pPr>
      <w:r>
        <w:rPr>
          <w:rFonts w:cs="Times New Roman"/>
          <w:b/>
          <w:bCs/>
          <w:szCs w:val="28"/>
        </w:rPr>
        <w:t>5.</w:t>
      </w:r>
      <w:r>
        <w:rPr>
          <w:rFonts w:hint="eastAsia" w:cs="Times New Roman"/>
          <w:b/>
          <w:bCs/>
          <w:szCs w:val="28"/>
        </w:rPr>
        <w:t xml:space="preserve"> 综合评价</w:t>
      </w:r>
    </w:p>
    <w:p>
      <w:pPr>
        <w:ind w:firstLine="560"/>
        <w:rPr>
          <w:rFonts w:cs="Times New Roman"/>
          <w:szCs w:val="28"/>
          <w:lang w:bidi="ar"/>
        </w:rPr>
      </w:pPr>
      <w:r>
        <w:rPr>
          <w:rFonts w:hint="eastAsia" w:cs="Times New Roman"/>
          <w:szCs w:val="28"/>
          <w:lang w:bidi="ar"/>
        </w:rPr>
        <w:t>本次湖南石门仙阳湖国家湿地公园的范围与功能区调整，是石门县委县政府贯彻山水林田湖草沙系统治理思想，加强全县生态资源保护的战略需要；是按照主体功能定位，调整空间结构，有效提高湿地公园管理成效的长远需要；是维护全县经济社会长治久安和生态环境始终良好的现实需要；是适应湿地保护管理新要求的发展需要；是提高湿地公园影响力，促进资源保护与民生事业协同发展的宏观需要。本着尊重现实和实事求是的原则，以有利于湿地公园和当地社区经济协调发展为目的进行调整，结论如下：</w:t>
      </w:r>
    </w:p>
    <w:p>
      <w:pPr>
        <w:ind w:firstLine="560"/>
        <w:rPr>
          <w:rFonts w:cs="Times New Roman"/>
          <w:szCs w:val="28"/>
          <w:lang w:bidi="ar"/>
        </w:rPr>
      </w:pPr>
      <w:r>
        <w:rPr>
          <w:rFonts w:hint="eastAsia" w:cs="Times New Roman"/>
          <w:szCs w:val="28"/>
          <w:lang w:bidi="ar"/>
        </w:rPr>
        <w:t>（1）调出范围是以耕地、园地、住宅用地、林地为主，自然资源和生态保护价值不高。总体来说，调整后自然资源保护管理与城市发展的矛盾冲突将得到一定程度的缓解。</w:t>
      </w:r>
    </w:p>
    <w:p>
      <w:pPr>
        <w:ind w:firstLine="560"/>
        <w:rPr>
          <w:rFonts w:cs="Times New Roman"/>
          <w:szCs w:val="28"/>
          <w:lang w:bidi="ar"/>
        </w:rPr>
      </w:pPr>
      <w:r>
        <w:rPr>
          <w:rFonts w:hint="eastAsia" w:cs="Times New Roman"/>
          <w:szCs w:val="28"/>
          <w:lang w:bidi="ar"/>
        </w:rPr>
        <w:t>（2）本次调整，湿地公园的保护目标和保护对象没有改变，湿地公园性质也没有改变，调整对湿地公园整体保护、生物多样性及湿地生态系统价值影响微弱。</w:t>
      </w:r>
    </w:p>
    <w:p>
      <w:pPr>
        <w:ind w:firstLine="560"/>
        <w:rPr>
          <w:rFonts w:cs="Times New Roman"/>
          <w:szCs w:val="28"/>
          <w:lang w:bidi="ar"/>
        </w:rPr>
      </w:pPr>
      <w:r>
        <w:rPr>
          <w:rFonts w:hint="eastAsia" w:cs="Times New Roman"/>
          <w:szCs w:val="28"/>
          <w:lang w:bidi="ar"/>
        </w:rPr>
        <w:t xml:space="preserve">（3）调整后湿地公园管理处可以最大限度地集中有限的人力、物力和财力对湿地公园的自然资源、生态系统更好地保护，更好地维持湿地公园的生态功能。 </w:t>
      </w:r>
    </w:p>
    <w:p>
      <w:pPr>
        <w:ind w:firstLine="560"/>
        <w:rPr>
          <w:rFonts w:cs="Times New Roman"/>
          <w:szCs w:val="28"/>
          <w:lang w:bidi="ar"/>
        </w:rPr>
      </w:pPr>
      <w:r>
        <w:rPr>
          <w:rFonts w:hint="eastAsia" w:cs="Times New Roman"/>
          <w:szCs w:val="28"/>
          <w:lang w:bidi="ar"/>
        </w:rPr>
        <w:t>（4）调整后，将有利于按照新的《国家湿地公园管理办法》、《湿地保护管理规定》、《湿地公园总体规划导则》等一批重要的管理文件，强化对湿地公园的科学保护和有效管理。</w:t>
      </w:r>
    </w:p>
    <w:p>
      <w:pPr>
        <w:ind w:firstLine="562"/>
        <w:rPr>
          <w:rFonts w:cs="Times New Roman"/>
          <w:b/>
          <w:bCs/>
          <w:szCs w:val="28"/>
          <w:lang w:bidi="ar"/>
        </w:rPr>
      </w:pPr>
      <w:r>
        <w:rPr>
          <w:rFonts w:hint="eastAsia" w:cs="Times New Roman"/>
          <w:b/>
          <w:bCs/>
          <w:szCs w:val="28"/>
          <w:lang w:bidi="ar"/>
        </w:rPr>
        <w:t>综上所述，本次对湖南石门仙阳湖国家湿地公园范围和功能区调整是合理的，也是可行的。</w:t>
      </w:r>
    </w:p>
    <w:p>
      <w:pPr>
        <w:widowControl/>
        <w:spacing w:line="240" w:lineRule="auto"/>
        <w:ind w:firstLine="0" w:firstLineChars="0"/>
        <w:jc w:val="center"/>
      </w:pPr>
    </w:p>
    <w:p>
      <w:pPr>
        <w:pStyle w:val="25"/>
        <w:pageBreakBefore/>
        <w:ind w:firstLine="0" w:firstLineChars="0"/>
        <w:jc w:val="center"/>
        <w:rPr>
          <w:rFonts w:ascii="黑体" w:hAnsi="黑体" w:eastAsia="黑体" w:cs="黑体"/>
          <w:b w:val="0"/>
          <w:bCs w:val="0"/>
          <w:caps w:val="0"/>
          <w:color w:val="2E75B6" w:themeColor="accent1" w:themeShade="BF"/>
          <w:kern w:val="0"/>
          <w:sz w:val="36"/>
          <w:szCs w:val="36"/>
          <w:lang w:val="zh-CN"/>
        </w:rPr>
        <w:sectPr>
          <w:headerReference r:id="rId11" w:type="default"/>
          <w:footerReference r:id="rId12" w:type="default"/>
          <w:pgSz w:w="11905" w:h="16838"/>
          <w:pgMar w:top="1417" w:right="1417" w:bottom="1417" w:left="1587" w:header="907" w:footer="680" w:gutter="0"/>
          <w:pgNumType w:fmt="upperRoman" w:start="1"/>
          <w:cols w:space="0" w:num="1"/>
          <w:rtlGutter w:val="0"/>
          <w:docGrid w:type="lines" w:linePitch="395" w:charSpace="0"/>
        </w:sectPr>
      </w:pPr>
    </w:p>
    <w:sdt>
      <w:sdtPr>
        <w:rPr>
          <w:rFonts w:hint="eastAsia" w:ascii="黑体" w:hAnsi="黑体" w:eastAsia="黑体" w:cs="黑体"/>
          <w:b w:val="0"/>
          <w:bCs w:val="0"/>
          <w:caps w:val="0"/>
          <w:color w:val="2E75B6" w:themeColor="accent1" w:themeShade="BF"/>
          <w:kern w:val="0"/>
          <w:sz w:val="36"/>
          <w:szCs w:val="36"/>
          <w:lang w:val="zh-CN"/>
        </w:rPr>
        <w:id w:val="-1936277201"/>
        <w:docPartObj>
          <w:docPartGallery w:val="Table of Contents"/>
          <w:docPartUnique/>
        </w:docPartObj>
      </w:sdtPr>
      <w:sdtEndPr>
        <w:rPr>
          <w:rFonts w:hint="default" w:ascii="黑体" w:hAnsi="黑体" w:eastAsia="仿宋" w:cs="Times New Roman"/>
          <w:b w:val="0"/>
          <w:bCs w:val="0"/>
          <w:caps w:val="0"/>
          <w:color w:val="2E75B6" w:themeColor="accent1" w:themeShade="BF"/>
          <w:kern w:val="0"/>
          <w:sz w:val="10"/>
          <w:szCs w:val="10"/>
          <w:lang w:val="zh-CN"/>
        </w:rPr>
      </w:sdtEndPr>
      <w:sdtContent>
        <w:p>
          <w:pPr>
            <w:pStyle w:val="25"/>
            <w:pageBreakBefore/>
            <w:ind w:firstLine="0" w:firstLineChars="0"/>
            <w:jc w:val="center"/>
            <w:outlineLvl w:val="0"/>
            <w:rPr>
              <w:rFonts w:ascii="黑体" w:hAnsi="黑体" w:eastAsia="黑体" w:cs="黑体"/>
              <w:sz w:val="36"/>
              <w:szCs w:val="36"/>
              <w:lang w:val="zh-CN"/>
            </w:rPr>
          </w:pPr>
          <w:r>
            <w:rPr>
              <w:rFonts w:hint="eastAsia" w:ascii="黑体" w:hAnsi="黑体" w:eastAsia="黑体" w:cs="黑体"/>
              <w:sz w:val="36"/>
              <w:szCs w:val="36"/>
              <w:lang w:val="zh-CN"/>
            </w:rPr>
            <w:t>目</w:t>
          </w:r>
          <w:r>
            <w:rPr>
              <w:rFonts w:hint="eastAsia" w:ascii="黑体" w:hAnsi="黑体" w:eastAsia="黑体" w:cs="黑体"/>
              <w:sz w:val="36"/>
              <w:szCs w:val="36"/>
            </w:rPr>
            <w:t xml:space="preserve"> </w:t>
          </w:r>
          <w:r>
            <w:rPr>
              <w:rFonts w:hint="eastAsia" w:ascii="黑体" w:hAnsi="黑体" w:eastAsia="黑体" w:cs="黑体"/>
              <w:sz w:val="36"/>
              <w:szCs w:val="36"/>
              <w:lang w:val="zh-CN"/>
            </w:rPr>
            <w:t>录</w:t>
          </w:r>
        </w:p>
        <w:p>
          <w:pPr>
            <w:pStyle w:val="25"/>
            <w:tabs>
              <w:tab w:val="right" w:leader="dot" w:pos="8778"/>
            </w:tabs>
            <w:spacing w:before="0" w:after="0" w:line="600" w:lineRule="exact"/>
            <w:ind w:firstLine="0" w:firstLineChars="0"/>
            <w:rPr>
              <w:rFonts w:ascii="Times New Roman" w:hAnsi="Times New Roman" w:cs="Times New Roman"/>
              <w:b w:val="0"/>
              <w:bCs w:val="0"/>
              <w:caps w:val="0"/>
              <w:sz w:val="28"/>
              <w:szCs w:val="28"/>
            </w:rPr>
          </w:pPr>
          <w:r>
            <w:rPr>
              <w:rFonts w:ascii="Times New Roman" w:hAnsi="Times New Roman" w:cs="Times New Roman"/>
              <w:b w:val="0"/>
              <w:bCs w:val="0"/>
              <w:caps w:val="0"/>
              <w:sz w:val="24"/>
              <w:szCs w:val="24"/>
              <w:lang w:val="zh-CN"/>
            </w:rPr>
            <w:fldChar w:fldCharType="begin"/>
          </w:r>
          <w:r>
            <w:rPr>
              <w:rFonts w:ascii="Times New Roman" w:hAnsi="Times New Roman" w:cs="Times New Roman"/>
              <w:b w:val="0"/>
              <w:bCs w:val="0"/>
              <w:caps w:val="0"/>
              <w:sz w:val="24"/>
              <w:szCs w:val="24"/>
              <w:lang w:val="zh-CN"/>
            </w:rPr>
            <w:instrText xml:space="preserve"> TOC \o "1-2" \h \z \u </w:instrText>
          </w:r>
          <w:r>
            <w:rPr>
              <w:rFonts w:ascii="Times New Roman" w:hAnsi="Times New Roman" w:cs="Times New Roman"/>
              <w:b w:val="0"/>
              <w:bCs w:val="0"/>
              <w:caps w:val="0"/>
              <w:sz w:val="24"/>
              <w:szCs w:val="24"/>
              <w:lang w:val="zh-CN"/>
            </w:rPr>
            <w:fldChar w:fldCharType="separate"/>
          </w:r>
          <w:r>
            <w:fldChar w:fldCharType="begin"/>
          </w:r>
          <w:r>
            <w:instrText xml:space="preserve"> HYPERLINK \l "_Toc117114352" </w:instrText>
          </w:r>
          <w:r>
            <w:fldChar w:fldCharType="separate"/>
          </w:r>
          <w:r>
            <w:rPr>
              <w:rStyle w:val="37"/>
              <w:rFonts w:ascii="Times New Roman" w:hAnsi="Times New Roman" w:cs="Times New Roman"/>
              <w:sz w:val="28"/>
              <w:szCs w:val="28"/>
            </w:rPr>
            <w:t>第1章 总论</w:t>
          </w:r>
          <w:r>
            <w:rPr>
              <w:rFonts w:ascii="Times New Roman" w:hAnsi="Times New Roman" w:cs="Times New Roman"/>
              <w:b w:val="0"/>
              <w:bCs w:val="0"/>
              <w:sz w:val="28"/>
              <w:szCs w:val="28"/>
            </w:rPr>
            <w:tab/>
          </w:r>
          <w:r>
            <w:rPr>
              <w:rFonts w:ascii="Times New Roman" w:hAnsi="Times New Roman" w:cs="Times New Roman"/>
              <w:b w:val="0"/>
              <w:bCs w:val="0"/>
              <w:sz w:val="28"/>
              <w:szCs w:val="28"/>
            </w:rPr>
            <w:fldChar w:fldCharType="begin"/>
          </w:r>
          <w:r>
            <w:rPr>
              <w:rFonts w:ascii="Times New Roman" w:hAnsi="Times New Roman" w:cs="Times New Roman"/>
              <w:b w:val="0"/>
              <w:bCs w:val="0"/>
              <w:sz w:val="28"/>
              <w:szCs w:val="28"/>
            </w:rPr>
            <w:instrText xml:space="preserve"> PAGEREF _Toc117114352 \h </w:instrText>
          </w:r>
          <w:r>
            <w:rPr>
              <w:rFonts w:ascii="Times New Roman" w:hAnsi="Times New Roman" w:cs="Times New Roman"/>
              <w:b w:val="0"/>
              <w:bCs w:val="0"/>
              <w:sz w:val="28"/>
              <w:szCs w:val="28"/>
            </w:rPr>
            <w:fldChar w:fldCharType="separate"/>
          </w:r>
          <w:r>
            <w:rPr>
              <w:rFonts w:ascii="Times New Roman" w:hAnsi="Times New Roman" w:cs="Times New Roman"/>
              <w:b w:val="0"/>
              <w:bCs w:val="0"/>
              <w:sz w:val="28"/>
              <w:szCs w:val="28"/>
            </w:rPr>
            <w:t>1</w:t>
          </w:r>
          <w:r>
            <w:rPr>
              <w:rFonts w:ascii="Times New Roman" w:hAnsi="Times New Roman" w:cs="Times New Roman"/>
              <w:b w:val="0"/>
              <w:bCs w:val="0"/>
              <w:sz w:val="28"/>
              <w:szCs w:val="28"/>
            </w:rPr>
            <w:fldChar w:fldCharType="end"/>
          </w:r>
          <w:r>
            <w:rPr>
              <w:rFonts w:ascii="Times New Roman" w:hAnsi="Times New Roman" w:cs="Times New Roman"/>
              <w:b w:val="0"/>
              <w:bCs w:val="0"/>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"_Toc117114353" </w:instrText>
          </w:r>
          <w:r>
            <w:fldChar w:fldCharType="separate"/>
          </w:r>
          <w:r>
            <w:rPr>
              <w:rStyle w:val="37"/>
              <w:rFonts w:ascii="Times New Roman" w:hAnsi="Times New Roman" w:cs="Times New Roman"/>
              <w:sz w:val="28"/>
              <w:szCs w:val="28"/>
            </w:rPr>
            <w:t>1.1 项目提要</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_Toc117114353 \h </w:instrText>
          </w:r>
          <w:r>
            <w:rPr>
              <w:rFonts w:ascii="Times New Roman" w:hAnsi="Times New Roman" w:cs="Times New Roman"/>
              <w:sz w:val="28"/>
              <w:szCs w:val="28"/>
            </w:rPr>
            <w:fldChar w:fldCharType="separate"/>
          </w:r>
          <w:r>
            <w:rPr>
              <w:rFonts w:ascii="Times New Roman" w:hAnsi="Times New Roman" w:cs="Times New Roman"/>
              <w:sz w:val="28"/>
              <w:szCs w:val="28"/>
            </w:rPr>
            <w:t>1</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"_Toc117114354" </w:instrText>
          </w:r>
          <w:r>
            <w:fldChar w:fldCharType="separate"/>
          </w:r>
          <w:r>
            <w:rPr>
              <w:rStyle w:val="37"/>
              <w:rFonts w:ascii="Times New Roman" w:hAnsi="Times New Roman" w:cs="Times New Roman"/>
              <w:sz w:val="28"/>
              <w:szCs w:val="28"/>
            </w:rPr>
            <w:t>1.2 主要技术经济指标</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_Toc117114354 \h </w:instrText>
          </w:r>
          <w:r>
            <w:rPr>
              <w:rFonts w:ascii="Times New Roman" w:hAnsi="Times New Roman" w:cs="Times New Roman"/>
              <w:sz w:val="28"/>
              <w:szCs w:val="28"/>
            </w:rPr>
            <w:fldChar w:fldCharType="separate"/>
          </w:r>
          <w:r>
            <w:rPr>
              <w:rFonts w:ascii="Times New Roman" w:hAnsi="Times New Roman" w:cs="Times New Roman"/>
              <w:sz w:val="28"/>
              <w:szCs w:val="28"/>
            </w:rPr>
            <w:t>3</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5"/>
            <w:tabs>
              <w:tab w:val="right" w:leader="dot" w:pos="8778"/>
            </w:tabs>
            <w:spacing w:before="0" w:after="0" w:line="600" w:lineRule="exact"/>
            <w:ind w:firstLine="0" w:firstLineChars="0"/>
            <w:rPr>
              <w:rFonts w:ascii="Times New Roman" w:hAnsi="Times New Roman" w:cs="Times New Roman"/>
              <w:b w:val="0"/>
              <w:bCs w:val="0"/>
              <w:caps w:val="0"/>
              <w:sz w:val="28"/>
              <w:szCs w:val="28"/>
            </w:rPr>
          </w:pPr>
          <w:r>
            <w:fldChar w:fldCharType="begin"/>
          </w:r>
          <w:r>
            <w:instrText xml:space="preserve"> HYPERLINK \l "_Toc117114355" </w:instrText>
          </w:r>
          <w:r>
            <w:fldChar w:fldCharType="separate"/>
          </w:r>
          <w:r>
            <w:rPr>
              <w:rStyle w:val="37"/>
              <w:rFonts w:ascii="Times New Roman" w:hAnsi="Times New Roman" w:cs="Times New Roman"/>
              <w:sz w:val="28"/>
              <w:szCs w:val="28"/>
            </w:rPr>
            <w:t>第2章 基本情况</w:t>
          </w:r>
          <w:r>
            <w:rPr>
              <w:rFonts w:ascii="Times New Roman" w:hAnsi="Times New Roman" w:cs="Times New Roman"/>
              <w:b w:val="0"/>
              <w:bCs w:val="0"/>
              <w:sz w:val="28"/>
              <w:szCs w:val="28"/>
            </w:rPr>
            <w:tab/>
          </w:r>
          <w:r>
            <w:rPr>
              <w:rFonts w:ascii="Times New Roman" w:hAnsi="Times New Roman" w:cs="Times New Roman"/>
              <w:b w:val="0"/>
              <w:bCs w:val="0"/>
              <w:sz w:val="28"/>
              <w:szCs w:val="28"/>
            </w:rPr>
            <w:fldChar w:fldCharType="begin"/>
          </w:r>
          <w:r>
            <w:rPr>
              <w:rFonts w:ascii="Times New Roman" w:hAnsi="Times New Roman" w:cs="Times New Roman"/>
              <w:b w:val="0"/>
              <w:bCs w:val="0"/>
              <w:sz w:val="28"/>
              <w:szCs w:val="28"/>
            </w:rPr>
            <w:instrText xml:space="preserve"> PAGEREF _Toc117114355 \h </w:instrText>
          </w:r>
          <w:r>
            <w:rPr>
              <w:rFonts w:ascii="Times New Roman" w:hAnsi="Times New Roman" w:cs="Times New Roman"/>
              <w:b w:val="0"/>
              <w:bCs w:val="0"/>
              <w:sz w:val="28"/>
              <w:szCs w:val="28"/>
            </w:rPr>
            <w:fldChar w:fldCharType="separate"/>
          </w:r>
          <w:r>
            <w:rPr>
              <w:rFonts w:ascii="Times New Roman" w:hAnsi="Times New Roman" w:cs="Times New Roman"/>
              <w:b w:val="0"/>
              <w:bCs w:val="0"/>
              <w:sz w:val="28"/>
              <w:szCs w:val="28"/>
            </w:rPr>
            <w:t>10</w:t>
          </w:r>
          <w:r>
            <w:rPr>
              <w:rFonts w:ascii="Times New Roman" w:hAnsi="Times New Roman" w:cs="Times New Roman"/>
              <w:b w:val="0"/>
              <w:bCs w:val="0"/>
              <w:sz w:val="28"/>
              <w:szCs w:val="28"/>
            </w:rPr>
            <w:fldChar w:fldCharType="end"/>
          </w:r>
          <w:r>
            <w:rPr>
              <w:rFonts w:ascii="Times New Roman" w:hAnsi="Times New Roman" w:cs="Times New Roman"/>
              <w:b w:val="0"/>
              <w:bCs w:val="0"/>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"_Toc117114356" </w:instrText>
          </w:r>
          <w:r>
            <w:fldChar w:fldCharType="separate"/>
          </w:r>
          <w:r>
            <w:rPr>
              <w:rStyle w:val="37"/>
              <w:rFonts w:ascii="Times New Roman" w:hAnsi="Times New Roman" w:cs="Times New Roman"/>
              <w:sz w:val="28"/>
              <w:szCs w:val="28"/>
            </w:rPr>
            <w:t>2.1 地理位置和范围</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_Toc117114356 \h </w:instrText>
          </w:r>
          <w:r>
            <w:rPr>
              <w:rFonts w:ascii="Times New Roman" w:hAnsi="Times New Roman" w:cs="Times New Roman"/>
              <w:sz w:val="28"/>
              <w:szCs w:val="28"/>
            </w:rPr>
            <w:fldChar w:fldCharType="separate"/>
          </w:r>
          <w:r>
            <w:rPr>
              <w:rFonts w:ascii="Times New Roman" w:hAnsi="Times New Roman" w:cs="Times New Roman"/>
              <w:sz w:val="28"/>
              <w:szCs w:val="28"/>
            </w:rPr>
            <w:t>10</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"_Toc117114357" </w:instrText>
          </w:r>
          <w:r>
            <w:fldChar w:fldCharType="separate"/>
          </w:r>
          <w:r>
            <w:rPr>
              <w:rStyle w:val="37"/>
              <w:rFonts w:ascii="Times New Roman" w:hAnsi="Times New Roman" w:cs="Times New Roman"/>
              <w:sz w:val="28"/>
              <w:szCs w:val="28"/>
            </w:rPr>
            <w:t>2.2 自然地理条件</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_Toc117114357 \h </w:instrText>
          </w:r>
          <w:r>
            <w:rPr>
              <w:rFonts w:ascii="Times New Roman" w:hAnsi="Times New Roman" w:cs="Times New Roman"/>
              <w:sz w:val="28"/>
              <w:szCs w:val="28"/>
            </w:rPr>
            <w:fldChar w:fldCharType="separate"/>
          </w:r>
          <w:r>
            <w:rPr>
              <w:rFonts w:ascii="Times New Roman" w:hAnsi="Times New Roman" w:cs="Times New Roman"/>
              <w:sz w:val="28"/>
              <w:szCs w:val="28"/>
            </w:rPr>
            <w:t>10</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"_Toc117114358" </w:instrText>
          </w:r>
          <w:r>
            <w:fldChar w:fldCharType="separate"/>
          </w:r>
          <w:r>
            <w:rPr>
              <w:rStyle w:val="37"/>
              <w:rFonts w:ascii="Times New Roman" w:hAnsi="Times New Roman" w:cs="Times New Roman"/>
              <w:sz w:val="28"/>
              <w:szCs w:val="28"/>
            </w:rPr>
            <w:t>2.3 社会经济条件</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_Toc117114358 \h </w:instrText>
          </w:r>
          <w:r>
            <w:rPr>
              <w:rFonts w:ascii="Times New Roman" w:hAnsi="Times New Roman" w:cs="Times New Roman"/>
              <w:sz w:val="28"/>
              <w:szCs w:val="28"/>
            </w:rPr>
            <w:fldChar w:fldCharType="separate"/>
          </w:r>
          <w:r>
            <w:rPr>
              <w:rFonts w:ascii="Times New Roman" w:hAnsi="Times New Roman" w:cs="Times New Roman"/>
              <w:sz w:val="28"/>
              <w:szCs w:val="28"/>
            </w:rPr>
            <w:t>17</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"_Toc117114359" </w:instrText>
          </w:r>
          <w:r>
            <w:fldChar w:fldCharType="separate"/>
          </w:r>
          <w:r>
            <w:rPr>
              <w:rStyle w:val="37"/>
              <w:rFonts w:ascii="Times New Roman" w:hAnsi="Times New Roman" w:cs="Times New Roman"/>
              <w:sz w:val="28"/>
              <w:szCs w:val="28"/>
            </w:rPr>
            <w:t>2.4 基础设施条件</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_Toc117114359 \h </w:instrText>
          </w:r>
          <w:r>
            <w:rPr>
              <w:rFonts w:ascii="Times New Roman" w:hAnsi="Times New Roman" w:cs="Times New Roman"/>
              <w:sz w:val="28"/>
              <w:szCs w:val="28"/>
            </w:rPr>
            <w:fldChar w:fldCharType="separate"/>
          </w:r>
          <w:r>
            <w:rPr>
              <w:rFonts w:ascii="Times New Roman" w:hAnsi="Times New Roman" w:cs="Times New Roman"/>
              <w:sz w:val="28"/>
              <w:szCs w:val="28"/>
            </w:rPr>
            <w:t>18</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"_Toc117114360" </w:instrText>
          </w:r>
          <w:r>
            <w:fldChar w:fldCharType="separate"/>
          </w:r>
          <w:r>
            <w:rPr>
              <w:rStyle w:val="37"/>
              <w:rFonts w:ascii="Times New Roman" w:hAnsi="Times New Roman" w:cs="Times New Roman"/>
              <w:sz w:val="28"/>
              <w:szCs w:val="28"/>
            </w:rPr>
            <w:t>2.5 土地利用现状</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_Toc117114360 \h </w:instrText>
          </w:r>
          <w:r>
            <w:rPr>
              <w:rFonts w:ascii="Times New Roman" w:hAnsi="Times New Roman" w:cs="Times New Roman"/>
              <w:sz w:val="28"/>
              <w:szCs w:val="28"/>
            </w:rPr>
            <w:fldChar w:fldCharType="separate"/>
          </w:r>
          <w:r>
            <w:rPr>
              <w:rFonts w:ascii="Times New Roman" w:hAnsi="Times New Roman" w:cs="Times New Roman"/>
              <w:sz w:val="28"/>
              <w:szCs w:val="28"/>
            </w:rPr>
            <w:t>19</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"_Toc117114361" </w:instrText>
          </w:r>
          <w:r>
            <w:fldChar w:fldCharType="separate"/>
          </w:r>
          <w:r>
            <w:rPr>
              <w:rStyle w:val="37"/>
              <w:rFonts w:ascii="Times New Roman" w:hAnsi="Times New Roman" w:cs="Times New Roman"/>
              <w:sz w:val="28"/>
              <w:szCs w:val="28"/>
            </w:rPr>
            <w:t>2.6 历史沿革</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_Toc117114361 \h </w:instrText>
          </w:r>
          <w:r>
            <w:rPr>
              <w:rFonts w:ascii="Times New Roman" w:hAnsi="Times New Roman" w:cs="Times New Roman"/>
              <w:sz w:val="28"/>
              <w:szCs w:val="28"/>
            </w:rPr>
            <w:fldChar w:fldCharType="separate"/>
          </w:r>
          <w:r>
            <w:rPr>
              <w:rFonts w:ascii="Times New Roman" w:hAnsi="Times New Roman" w:cs="Times New Roman"/>
              <w:sz w:val="28"/>
              <w:szCs w:val="28"/>
            </w:rPr>
            <w:t>20</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5"/>
            <w:tabs>
              <w:tab w:val="right" w:leader="dot" w:pos="8778"/>
            </w:tabs>
            <w:spacing w:before="0" w:after="0" w:line="600" w:lineRule="exact"/>
            <w:ind w:firstLine="0" w:firstLineChars="0"/>
            <w:rPr>
              <w:rFonts w:ascii="Times New Roman" w:hAnsi="Times New Roman" w:cs="Times New Roman"/>
              <w:b w:val="0"/>
              <w:bCs w:val="0"/>
              <w:caps w:val="0"/>
              <w:sz w:val="28"/>
              <w:szCs w:val="28"/>
            </w:rPr>
          </w:pPr>
          <w:r>
            <w:fldChar w:fldCharType="begin"/>
          </w:r>
          <w:r>
            <w:instrText xml:space="preserve"> HYPERLINK \l "_Toc117114362" </w:instrText>
          </w:r>
          <w:r>
            <w:fldChar w:fldCharType="separate"/>
          </w:r>
          <w:r>
            <w:rPr>
              <w:rStyle w:val="37"/>
              <w:rFonts w:ascii="Times New Roman" w:hAnsi="Times New Roman" w:cs="Times New Roman"/>
              <w:sz w:val="28"/>
              <w:szCs w:val="28"/>
            </w:rPr>
            <w:t>第3章 湿地资源</w:t>
          </w:r>
          <w:r>
            <w:rPr>
              <w:rFonts w:ascii="Times New Roman" w:hAnsi="Times New Roman" w:cs="Times New Roman"/>
              <w:b w:val="0"/>
              <w:bCs w:val="0"/>
              <w:sz w:val="28"/>
              <w:szCs w:val="28"/>
            </w:rPr>
            <w:tab/>
          </w:r>
          <w:r>
            <w:rPr>
              <w:rFonts w:ascii="Times New Roman" w:hAnsi="Times New Roman" w:cs="Times New Roman"/>
              <w:b w:val="0"/>
              <w:bCs w:val="0"/>
              <w:sz w:val="28"/>
              <w:szCs w:val="28"/>
            </w:rPr>
            <w:fldChar w:fldCharType="begin"/>
          </w:r>
          <w:r>
            <w:rPr>
              <w:rFonts w:ascii="Times New Roman" w:hAnsi="Times New Roman" w:cs="Times New Roman"/>
              <w:b w:val="0"/>
              <w:bCs w:val="0"/>
              <w:sz w:val="28"/>
              <w:szCs w:val="28"/>
            </w:rPr>
            <w:instrText xml:space="preserve"> PAGEREF _Toc117114362 \h </w:instrText>
          </w:r>
          <w:r>
            <w:rPr>
              <w:rFonts w:ascii="Times New Roman" w:hAnsi="Times New Roman" w:cs="Times New Roman"/>
              <w:b w:val="0"/>
              <w:bCs w:val="0"/>
              <w:sz w:val="28"/>
              <w:szCs w:val="28"/>
            </w:rPr>
            <w:fldChar w:fldCharType="separate"/>
          </w:r>
          <w:r>
            <w:rPr>
              <w:rFonts w:ascii="Times New Roman" w:hAnsi="Times New Roman" w:cs="Times New Roman"/>
              <w:b w:val="0"/>
              <w:bCs w:val="0"/>
              <w:sz w:val="28"/>
              <w:szCs w:val="28"/>
            </w:rPr>
            <w:t>22</w:t>
          </w:r>
          <w:r>
            <w:rPr>
              <w:rFonts w:ascii="Times New Roman" w:hAnsi="Times New Roman" w:cs="Times New Roman"/>
              <w:b w:val="0"/>
              <w:bCs w:val="0"/>
              <w:sz w:val="28"/>
              <w:szCs w:val="28"/>
            </w:rPr>
            <w:fldChar w:fldCharType="end"/>
          </w:r>
          <w:r>
            <w:rPr>
              <w:rFonts w:ascii="Times New Roman" w:hAnsi="Times New Roman" w:cs="Times New Roman"/>
              <w:b w:val="0"/>
              <w:bCs w:val="0"/>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"_Toc117114363" </w:instrText>
          </w:r>
          <w:r>
            <w:fldChar w:fldCharType="separate"/>
          </w:r>
          <w:r>
            <w:rPr>
              <w:rStyle w:val="37"/>
              <w:rFonts w:ascii="Times New Roman" w:hAnsi="Times New Roman" w:cs="Times New Roman"/>
              <w:sz w:val="28"/>
              <w:szCs w:val="28"/>
            </w:rPr>
            <w:t>3.1 湿地类型、面积与分布</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_Toc117114363 \h </w:instrText>
          </w:r>
          <w:r>
            <w:rPr>
              <w:rFonts w:ascii="Times New Roman" w:hAnsi="Times New Roman" w:cs="Times New Roman"/>
              <w:sz w:val="28"/>
              <w:szCs w:val="28"/>
            </w:rPr>
            <w:fldChar w:fldCharType="separate"/>
          </w:r>
          <w:r>
            <w:rPr>
              <w:rFonts w:ascii="Times New Roman" w:hAnsi="Times New Roman" w:cs="Times New Roman"/>
              <w:sz w:val="28"/>
              <w:szCs w:val="28"/>
            </w:rPr>
            <w:t>22</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"_Toc117114364" </w:instrText>
          </w:r>
          <w:r>
            <w:fldChar w:fldCharType="separate"/>
          </w:r>
          <w:r>
            <w:rPr>
              <w:rStyle w:val="37"/>
              <w:rFonts w:ascii="Times New Roman" w:hAnsi="Times New Roman" w:cs="Times New Roman"/>
              <w:sz w:val="28"/>
              <w:szCs w:val="28"/>
            </w:rPr>
            <w:t>3.2 湿地生物多样性</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_Toc117114364 \h </w:instrText>
          </w:r>
          <w:r>
            <w:rPr>
              <w:rFonts w:ascii="Times New Roman" w:hAnsi="Times New Roman" w:cs="Times New Roman"/>
              <w:sz w:val="28"/>
              <w:szCs w:val="28"/>
            </w:rPr>
            <w:fldChar w:fldCharType="separate"/>
          </w:r>
          <w:r>
            <w:rPr>
              <w:rFonts w:ascii="Times New Roman" w:hAnsi="Times New Roman" w:cs="Times New Roman"/>
              <w:sz w:val="28"/>
              <w:szCs w:val="28"/>
            </w:rPr>
            <w:t>24</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"_Toc117114365" </w:instrText>
          </w:r>
          <w:r>
            <w:fldChar w:fldCharType="separate"/>
          </w:r>
          <w:r>
            <w:rPr>
              <w:rStyle w:val="37"/>
              <w:rFonts w:ascii="Times New Roman" w:hAnsi="Times New Roman" w:cs="Times New Roman"/>
              <w:sz w:val="28"/>
              <w:szCs w:val="28"/>
            </w:rPr>
            <w:t>3.3 湿地景观和文化资源</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_Toc117114365 \h </w:instrText>
          </w:r>
          <w:r>
            <w:rPr>
              <w:rFonts w:ascii="Times New Roman" w:hAnsi="Times New Roman" w:cs="Times New Roman"/>
              <w:sz w:val="28"/>
              <w:szCs w:val="28"/>
            </w:rPr>
            <w:fldChar w:fldCharType="separate"/>
          </w:r>
          <w:r>
            <w:rPr>
              <w:rFonts w:ascii="Times New Roman" w:hAnsi="Times New Roman" w:cs="Times New Roman"/>
              <w:sz w:val="28"/>
              <w:szCs w:val="28"/>
            </w:rPr>
            <w:t>27</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"_Toc117114366" </w:instrText>
          </w:r>
          <w:r>
            <w:fldChar w:fldCharType="separate"/>
          </w:r>
          <w:r>
            <w:rPr>
              <w:rStyle w:val="37"/>
              <w:rFonts w:ascii="Times New Roman" w:hAnsi="Times New Roman" w:cs="Times New Roman"/>
              <w:sz w:val="28"/>
              <w:szCs w:val="28"/>
            </w:rPr>
            <w:t>3.4 湿地资源总体评价</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_Toc117114366 \h </w:instrText>
          </w:r>
          <w:r>
            <w:rPr>
              <w:rFonts w:ascii="Times New Roman" w:hAnsi="Times New Roman" w:cs="Times New Roman"/>
              <w:sz w:val="28"/>
              <w:szCs w:val="28"/>
            </w:rPr>
            <w:fldChar w:fldCharType="separate"/>
          </w:r>
          <w:r>
            <w:rPr>
              <w:rFonts w:ascii="Times New Roman" w:hAnsi="Times New Roman" w:cs="Times New Roman"/>
              <w:sz w:val="28"/>
              <w:szCs w:val="28"/>
            </w:rPr>
            <w:t>36</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5"/>
            <w:tabs>
              <w:tab w:val="right" w:leader="dot" w:pos="8778"/>
            </w:tabs>
            <w:spacing w:before="0" w:after="0" w:line="600" w:lineRule="exact"/>
            <w:ind w:firstLine="0" w:firstLineChars="0"/>
            <w:rPr>
              <w:rFonts w:ascii="Times New Roman" w:hAnsi="Times New Roman" w:cs="Times New Roman"/>
              <w:b w:val="0"/>
              <w:bCs w:val="0"/>
              <w:caps w:val="0"/>
              <w:sz w:val="28"/>
              <w:szCs w:val="28"/>
            </w:rPr>
          </w:pPr>
          <w:r>
            <w:fldChar w:fldCharType="begin"/>
          </w:r>
          <w:r>
            <w:instrText xml:space="preserve"> HYPERLINK \l "_Toc117114367" </w:instrText>
          </w:r>
          <w:r>
            <w:fldChar w:fldCharType="separate"/>
          </w:r>
          <w:r>
            <w:rPr>
              <w:rStyle w:val="37"/>
              <w:rFonts w:ascii="Times New Roman" w:hAnsi="Times New Roman" w:cs="Times New Roman"/>
              <w:sz w:val="28"/>
              <w:szCs w:val="28"/>
            </w:rPr>
            <w:t>第4章 湿地公园建设情况</w:t>
          </w:r>
          <w:r>
            <w:rPr>
              <w:rFonts w:ascii="Times New Roman" w:hAnsi="Times New Roman" w:cs="Times New Roman"/>
              <w:b w:val="0"/>
              <w:bCs w:val="0"/>
              <w:sz w:val="28"/>
              <w:szCs w:val="28"/>
            </w:rPr>
            <w:tab/>
          </w:r>
          <w:r>
            <w:rPr>
              <w:rFonts w:ascii="Times New Roman" w:hAnsi="Times New Roman" w:cs="Times New Roman"/>
              <w:b w:val="0"/>
              <w:bCs w:val="0"/>
              <w:sz w:val="28"/>
              <w:szCs w:val="28"/>
            </w:rPr>
            <w:fldChar w:fldCharType="begin"/>
          </w:r>
          <w:r>
            <w:rPr>
              <w:rFonts w:ascii="Times New Roman" w:hAnsi="Times New Roman" w:cs="Times New Roman"/>
              <w:b w:val="0"/>
              <w:bCs w:val="0"/>
              <w:sz w:val="28"/>
              <w:szCs w:val="28"/>
            </w:rPr>
            <w:instrText xml:space="preserve"> PAGEREF _Toc117114367 \h </w:instrText>
          </w:r>
          <w:r>
            <w:rPr>
              <w:rFonts w:ascii="Times New Roman" w:hAnsi="Times New Roman" w:cs="Times New Roman"/>
              <w:b w:val="0"/>
              <w:bCs w:val="0"/>
              <w:sz w:val="28"/>
              <w:szCs w:val="28"/>
            </w:rPr>
            <w:fldChar w:fldCharType="separate"/>
          </w:r>
          <w:r>
            <w:rPr>
              <w:rFonts w:ascii="Times New Roman" w:hAnsi="Times New Roman" w:cs="Times New Roman"/>
              <w:b w:val="0"/>
              <w:bCs w:val="0"/>
              <w:sz w:val="28"/>
              <w:szCs w:val="28"/>
            </w:rPr>
            <w:t>43</w:t>
          </w:r>
          <w:r>
            <w:rPr>
              <w:rFonts w:ascii="Times New Roman" w:hAnsi="Times New Roman" w:cs="Times New Roman"/>
              <w:b w:val="0"/>
              <w:bCs w:val="0"/>
              <w:sz w:val="28"/>
              <w:szCs w:val="28"/>
            </w:rPr>
            <w:fldChar w:fldCharType="end"/>
          </w:r>
          <w:r>
            <w:rPr>
              <w:rFonts w:ascii="Times New Roman" w:hAnsi="Times New Roman" w:cs="Times New Roman"/>
              <w:b w:val="0"/>
              <w:bCs w:val="0"/>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"_Toc117114368" </w:instrText>
          </w:r>
          <w:r>
            <w:fldChar w:fldCharType="separate"/>
          </w:r>
          <w:r>
            <w:rPr>
              <w:rStyle w:val="37"/>
              <w:rFonts w:ascii="Times New Roman" w:hAnsi="Times New Roman" w:cs="Times New Roman"/>
              <w:sz w:val="28"/>
              <w:szCs w:val="28"/>
            </w:rPr>
            <w:t>4.1 公园建设简述</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_Toc117114368 \h </w:instrText>
          </w:r>
          <w:r>
            <w:rPr>
              <w:rFonts w:ascii="Times New Roman" w:hAnsi="Times New Roman" w:cs="Times New Roman"/>
              <w:sz w:val="28"/>
              <w:szCs w:val="28"/>
            </w:rPr>
            <w:fldChar w:fldCharType="separate"/>
          </w:r>
          <w:r>
            <w:rPr>
              <w:rFonts w:ascii="Times New Roman" w:hAnsi="Times New Roman" w:cs="Times New Roman"/>
              <w:sz w:val="28"/>
              <w:szCs w:val="28"/>
            </w:rPr>
            <w:t>43</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"_Toc117114369" </w:instrText>
          </w:r>
          <w:r>
            <w:fldChar w:fldCharType="separate"/>
          </w:r>
          <w:r>
            <w:rPr>
              <w:rStyle w:val="37"/>
              <w:rFonts w:ascii="Times New Roman" w:hAnsi="Times New Roman" w:cs="Times New Roman"/>
              <w:sz w:val="28"/>
              <w:szCs w:val="28"/>
            </w:rPr>
            <w:t>4.2 湿地公园建设情况</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_Toc117114369 \h </w:instrText>
          </w:r>
          <w:r>
            <w:rPr>
              <w:rFonts w:ascii="Times New Roman" w:hAnsi="Times New Roman" w:cs="Times New Roman"/>
              <w:sz w:val="28"/>
              <w:szCs w:val="28"/>
            </w:rPr>
            <w:fldChar w:fldCharType="separate"/>
          </w:r>
          <w:r>
            <w:rPr>
              <w:rFonts w:ascii="Times New Roman" w:hAnsi="Times New Roman" w:cs="Times New Roman"/>
              <w:sz w:val="28"/>
              <w:szCs w:val="28"/>
            </w:rPr>
            <w:t>44</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"_Toc117114370" </w:instrText>
          </w:r>
          <w:r>
            <w:fldChar w:fldCharType="separate"/>
          </w:r>
          <w:r>
            <w:rPr>
              <w:rStyle w:val="37"/>
              <w:rFonts w:ascii="Times New Roman" w:hAnsi="Times New Roman" w:cs="Times New Roman"/>
              <w:sz w:val="28"/>
              <w:szCs w:val="28"/>
            </w:rPr>
            <w:t>4.3 湿地公园建设存在的问题</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_Toc117114370 \h </w:instrText>
          </w:r>
          <w:r>
            <w:rPr>
              <w:rFonts w:ascii="Times New Roman" w:hAnsi="Times New Roman" w:cs="Times New Roman"/>
              <w:sz w:val="28"/>
              <w:szCs w:val="28"/>
            </w:rPr>
            <w:fldChar w:fldCharType="separate"/>
          </w:r>
          <w:r>
            <w:rPr>
              <w:rFonts w:ascii="Times New Roman" w:hAnsi="Times New Roman" w:cs="Times New Roman"/>
              <w:sz w:val="28"/>
              <w:szCs w:val="28"/>
            </w:rPr>
            <w:t>54</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5"/>
            <w:tabs>
              <w:tab w:val="right" w:leader="dot" w:pos="8778"/>
            </w:tabs>
            <w:spacing w:before="0" w:after="0" w:line="600" w:lineRule="exact"/>
            <w:ind w:firstLine="0" w:firstLineChars="0"/>
            <w:rPr>
              <w:rFonts w:ascii="Times New Roman" w:hAnsi="Times New Roman" w:cs="Times New Roman"/>
              <w:b w:val="0"/>
              <w:bCs w:val="0"/>
              <w:caps w:val="0"/>
              <w:sz w:val="28"/>
              <w:szCs w:val="28"/>
            </w:rPr>
          </w:pPr>
          <w:r>
            <w:fldChar w:fldCharType="begin"/>
          </w:r>
          <w:r>
            <w:instrText xml:space="preserve"> HYPERLINK \l "_Toc117114371" </w:instrText>
          </w:r>
          <w:r>
            <w:fldChar w:fldCharType="separate"/>
          </w:r>
          <w:r>
            <w:rPr>
              <w:rStyle w:val="37"/>
              <w:rFonts w:ascii="Times New Roman" w:hAnsi="Times New Roman" w:cs="Times New Roman"/>
              <w:sz w:val="28"/>
              <w:szCs w:val="28"/>
            </w:rPr>
            <w:t>第5章 总体布局</w:t>
          </w:r>
          <w:r>
            <w:rPr>
              <w:rFonts w:ascii="Times New Roman" w:hAnsi="Times New Roman" w:cs="Times New Roman"/>
              <w:b w:val="0"/>
              <w:bCs w:val="0"/>
              <w:sz w:val="28"/>
              <w:szCs w:val="28"/>
            </w:rPr>
            <w:tab/>
          </w:r>
          <w:r>
            <w:rPr>
              <w:rFonts w:ascii="Times New Roman" w:hAnsi="Times New Roman" w:cs="Times New Roman"/>
              <w:b w:val="0"/>
              <w:bCs w:val="0"/>
              <w:sz w:val="28"/>
              <w:szCs w:val="28"/>
            </w:rPr>
            <w:fldChar w:fldCharType="begin"/>
          </w:r>
          <w:r>
            <w:rPr>
              <w:rFonts w:ascii="Times New Roman" w:hAnsi="Times New Roman" w:cs="Times New Roman"/>
              <w:b w:val="0"/>
              <w:bCs w:val="0"/>
              <w:sz w:val="28"/>
              <w:szCs w:val="28"/>
            </w:rPr>
            <w:instrText xml:space="preserve"> PAGEREF _Toc117114371 \h </w:instrText>
          </w:r>
          <w:r>
            <w:rPr>
              <w:rFonts w:ascii="Times New Roman" w:hAnsi="Times New Roman" w:cs="Times New Roman"/>
              <w:b w:val="0"/>
              <w:bCs w:val="0"/>
              <w:sz w:val="28"/>
              <w:szCs w:val="28"/>
            </w:rPr>
            <w:fldChar w:fldCharType="separate"/>
          </w:r>
          <w:r>
            <w:rPr>
              <w:rFonts w:ascii="Times New Roman" w:hAnsi="Times New Roman" w:cs="Times New Roman"/>
              <w:b w:val="0"/>
              <w:bCs w:val="0"/>
              <w:sz w:val="28"/>
              <w:szCs w:val="28"/>
            </w:rPr>
            <w:t>57</w:t>
          </w:r>
          <w:r>
            <w:rPr>
              <w:rFonts w:ascii="Times New Roman" w:hAnsi="Times New Roman" w:cs="Times New Roman"/>
              <w:b w:val="0"/>
              <w:bCs w:val="0"/>
              <w:sz w:val="28"/>
              <w:szCs w:val="28"/>
            </w:rPr>
            <w:fldChar w:fldCharType="end"/>
          </w:r>
          <w:r>
            <w:rPr>
              <w:rFonts w:ascii="Times New Roman" w:hAnsi="Times New Roman" w:cs="Times New Roman"/>
              <w:b w:val="0"/>
              <w:bCs w:val="0"/>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"_Toc117114372" </w:instrText>
          </w:r>
          <w:r>
            <w:fldChar w:fldCharType="separate"/>
          </w:r>
          <w:r>
            <w:rPr>
              <w:rStyle w:val="37"/>
              <w:rFonts w:ascii="Times New Roman" w:hAnsi="Times New Roman" w:cs="Times New Roman"/>
              <w:sz w:val="28"/>
              <w:szCs w:val="28"/>
            </w:rPr>
            <w:t>5.1 湿地公园性质、定位</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_Toc117114372 \h </w:instrText>
          </w:r>
          <w:r>
            <w:rPr>
              <w:rFonts w:ascii="Times New Roman" w:hAnsi="Times New Roman" w:cs="Times New Roman"/>
              <w:sz w:val="28"/>
              <w:szCs w:val="28"/>
            </w:rPr>
            <w:fldChar w:fldCharType="separate"/>
          </w:r>
          <w:r>
            <w:rPr>
              <w:rFonts w:ascii="Times New Roman" w:hAnsi="Times New Roman" w:cs="Times New Roman"/>
              <w:sz w:val="28"/>
              <w:szCs w:val="28"/>
            </w:rPr>
            <w:t>57</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"_Toc117114373" </w:instrText>
          </w:r>
          <w:r>
            <w:fldChar w:fldCharType="separate"/>
          </w:r>
          <w:r>
            <w:rPr>
              <w:rStyle w:val="37"/>
              <w:rFonts w:ascii="Times New Roman" w:hAnsi="Times New Roman" w:cs="Times New Roman"/>
              <w:sz w:val="28"/>
              <w:szCs w:val="28"/>
            </w:rPr>
            <w:t>5.2 规划指导思想</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_Toc117114373 \h </w:instrText>
          </w:r>
          <w:r>
            <w:rPr>
              <w:rFonts w:ascii="Times New Roman" w:hAnsi="Times New Roman" w:cs="Times New Roman"/>
              <w:sz w:val="28"/>
              <w:szCs w:val="28"/>
            </w:rPr>
            <w:fldChar w:fldCharType="separate"/>
          </w:r>
          <w:r>
            <w:rPr>
              <w:rFonts w:ascii="Times New Roman" w:hAnsi="Times New Roman" w:cs="Times New Roman"/>
              <w:sz w:val="28"/>
              <w:szCs w:val="28"/>
            </w:rPr>
            <w:t>58</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"_Toc117114374" </w:instrText>
          </w:r>
          <w:r>
            <w:fldChar w:fldCharType="separate"/>
          </w:r>
          <w:r>
            <w:rPr>
              <w:rStyle w:val="37"/>
              <w:rFonts w:ascii="Times New Roman" w:hAnsi="Times New Roman" w:cs="Times New Roman"/>
              <w:sz w:val="28"/>
              <w:szCs w:val="28"/>
            </w:rPr>
            <w:t>5.3 规划原则</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_Toc117114374 \h </w:instrText>
          </w:r>
          <w:r>
            <w:rPr>
              <w:rFonts w:ascii="Times New Roman" w:hAnsi="Times New Roman" w:cs="Times New Roman"/>
              <w:sz w:val="28"/>
              <w:szCs w:val="28"/>
            </w:rPr>
            <w:fldChar w:fldCharType="separate"/>
          </w:r>
          <w:r>
            <w:rPr>
              <w:rFonts w:ascii="Times New Roman" w:hAnsi="Times New Roman" w:cs="Times New Roman"/>
              <w:sz w:val="28"/>
              <w:szCs w:val="28"/>
            </w:rPr>
            <w:t>58</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"_Toc117114375" </w:instrText>
          </w:r>
          <w:r>
            <w:fldChar w:fldCharType="separate"/>
          </w:r>
          <w:r>
            <w:rPr>
              <w:rStyle w:val="37"/>
              <w:rFonts w:ascii="Times New Roman" w:hAnsi="Times New Roman" w:cs="Times New Roman"/>
              <w:sz w:val="28"/>
              <w:szCs w:val="28"/>
            </w:rPr>
            <w:t>5.4 规划依据</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_Toc117114375 \h </w:instrText>
          </w:r>
          <w:r>
            <w:rPr>
              <w:rFonts w:ascii="Times New Roman" w:hAnsi="Times New Roman" w:cs="Times New Roman"/>
              <w:sz w:val="28"/>
              <w:szCs w:val="28"/>
            </w:rPr>
            <w:fldChar w:fldCharType="separate"/>
          </w:r>
          <w:r>
            <w:rPr>
              <w:rFonts w:ascii="Times New Roman" w:hAnsi="Times New Roman" w:cs="Times New Roman"/>
              <w:sz w:val="28"/>
              <w:szCs w:val="28"/>
            </w:rPr>
            <w:t>59</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"_Toc117114376" </w:instrText>
          </w:r>
          <w:r>
            <w:fldChar w:fldCharType="separate"/>
          </w:r>
          <w:r>
            <w:rPr>
              <w:rStyle w:val="37"/>
              <w:rFonts w:ascii="Times New Roman" w:hAnsi="Times New Roman" w:cs="Times New Roman"/>
              <w:sz w:val="28"/>
              <w:szCs w:val="28"/>
            </w:rPr>
            <w:t>5.5 规划总体目标与分期目标</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_Toc117114376 \h </w:instrText>
          </w:r>
          <w:r>
            <w:rPr>
              <w:rFonts w:ascii="Times New Roman" w:hAnsi="Times New Roman" w:cs="Times New Roman"/>
              <w:sz w:val="28"/>
              <w:szCs w:val="28"/>
            </w:rPr>
            <w:fldChar w:fldCharType="separate"/>
          </w:r>
          <w:r>
            <w:rPr>
              <w:rFonts w:ascii="Times New Roman" w:hAnsi="Times New Roman" w:cs="Times New Roman"/>
              <w:sz w:val="28"/>
              <w:szCs w:val="28"/>
            </w:rPr>
            <w:t>64</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"_Toc117114377" </w:instrText>
          </w:r>
          <w:r>
            <w:fldChar w:fldCharType="separate"/>
          </w:r>
          <w:r>
            <w:rPr>
              <w:rStyle w:val="37"/>
              <w:rFonts w:ascii="Times New Roman" w:hAnsi="Times New Roman" w:cs="Times New Roman"/>
              <w:sz w:val="28"/>
              <w:szCs w:val="28"/>
            </w:rPr>
            <w:t>5.6 功能分区</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_Toc117114377 \h </w:instrText>
          </w:r>
          <w:r>
            <w:rPr>
              <w:rFonts w:ascii="Times New Roman" w:hAnsi="Times New Roman" w:cs="Times New Roman"/>
              <w:sz w:val="28"/>
              <w:szCs w:val="28"/>
            </w:rPr>
            <w:fldChar w:fldCharType="separate"/>
          </w:r>
          <w:r>
            <w:rPr>
              <w:rFonts w:ascii="Times New Roman" w:hAnsi="Times New Roman" w:cs="Times New Roman"/>
              <w:sz w:val="28"/>
              <w:szCs w:val="28"/>
            </w:rPr>
            <w:t>66</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"_Toc117114378" </w:instrText>
          </w:r>
          <w:r>
            <w:fldChar w:fldCharType="separate"/>
          </w:r>
          <w:r>
            <w:rPr>
              <w:rStyle w:val="37"/>
              <w:rFonts w:ascii="Times New Roman" w:hAnsi="Times New Roman" w:cs="Times New Roman"/>
              <w:sz w:val="28"/>
              <w:szCs w:val="28"/>
            </w:rPr>
            <w:t>5.7 公园分区建设目标与发展</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_Toc117114378 \h </w:instrText>
          </w:r>
          <w:r>
            <w:rPr>
              <w:rFonts w:ascii="Times New Roman" w:hAnsi="Times New Roman" w:cs="Times New Roman"/>
              <w:sz w:val="28"/>
              <w:szCs w:val="28"/>
            </w:rPr>
            <w:fldChar w:fldCharType="separate"/>
          </w:r>
          <w:r>
            <w:rPr>
              <w:rFonts w:ascii="Times New Roman" w:hAnsi="Times New Roman" w:cs="Times New Roman"/>
              <w:sz w:val="28"/>
              <w:szCs w:val="28"/>
            </w:rPr>
            <w:t>67</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5"/>
            <w:tabs>
              <w:tab w:val="right" w:leader="dot" w:pos="8778"/>
            </w:tabs>
            <w:spacing w:before="0" w:after="0" w:line="600" w:lineRule="exact"/>
            <w:ind w:firstLine="0" w:firstLineChars="0"/>
            <w:rPr>
              <w:rFonts w:ascii="Times New Roman" w:hAnsi="Times New Roman" w:cs="Times New Roman"/>
              <w:b w:val="0"/>
              <w:bCs w:val="0"/>
              <w:caps w:val="0"/>
              <w:sz w:val="28"/>
              <w:szCs w:val="28"/>
            </w:rPr>
          </w:pPr>
          <w:r>
            <w:fldChar w:fldCharType="begin"/>
          </w:r>
          <w:r>
            <w:instrText xml:space="preserve"> HYPERLINK \l "_Toc117114379" </w:instrText>
          </w:r>
          <w:r>
            <w:fldChar w:fldCharType="separate"/>
          </w:r>
          <w:r>
            <w:rPr>
              <w:rStyle w:val="37"/>
              <w:rFonts w:ascii="Times New Roman" w:hAnsi="Times New Roman" w:cs="Times New Roman"/>
              <w:sz w:val="28"/>
              <w:szCs w:val="28"/>
            </w:rPr>
            <w:t>第6章 保护（恢复）规划</w:t>
          </w:r>
          <w:r>
            <w:rPr>
              <w:rFonts w:ascii="Times New Roman" w:hAnsi="Times New Roman" w:cs="Times New Roman"/>
              <w:b w:val="0"/>
              <w:bCs w:val="0"/>
              <w:sz w:val="28"/>
              <w:szCs w:val="28"/>
            </w:rPr>
            <w:tab/>
          </w:r>
          <w:r>
            <w:rPr>
              <w:rFonts w:ascii="Times New Roman" w:hAnsi="Times New Roman" w:cs="Times New Roman"/>
              <w:b w:val="0"/>
              <w:bCs w:val="0"/>
              <w:sz w:val="28"/>
              <w:szCs w:val="28"/>
            </w:rPr>
            <w:fldChar w:fldCharType="begin"/>
          </w:r>
          <w:r>
            <w:rPr>
              <w:rFonts w:ascii="Times New Roman" w:hAnsi="Times New Roman" w:cs="Times New Roman"/>
              <w:b w:val="0"/>
              <w:bCs w:val="0"/>
              <w:sz w:val="28"/>
              <w:szCs w:val="28"/>
            </w:rPr>
            <w:instrText xml:space="preserve"> PAGEREF _Toc117114379 \h </w:instrText>
          </w:r>
          <w:r>
            <w:rPr>
              <w:rFonts w:ascii="Times New Roman" w:hAnsi="Times New Roman" w:cs="Times New Roman"/>
              <w:b w:val="0"/>
              <w:bCs w:val="0"/>
              <w:sz w:val="28"/>
              <w:szCs w:val="28"/>
            </w:rPr>
            <w:fldChar w:fldCharType="separate"/>
          </w:r>
          <w:r>
            <w:rPr>
              <w:rFonts w:ascii="Times New Roman" w:hAnsi="Times New Roman" w:cs="Times New Roman"/>
              <w:b w:val="0"/>
              <w:bCs w:val="0"/>
              <w:sz w:val="28"/>
              <w:szCs w:val="28"/>
            </w:rPr>
            <w:t>73</w:t>
          </w:r>
          <w:r>
            <w:rPr>
              <w:rFonts w:ascii="Times New Roman" w:hAnsi="Times New Roman" w:cs="Times New Roman"/>
              <w:b w:val="0"/>
              <w:bCs w:val="0"/>
              <w:sz w:val="28"/>
              <w:szCs w:val="28"/>
            </w:rPr>
            <w:fldChar w:fldCharType="end"/>
          </w:r>
          <w:r>
            <w:rPr>
              <w:rFonts w:ascii="Times New Roman" w:hAnsi="Times New Roman" w:cs="Times New Roman"/>
              <w:b w:val="0"/>
              <w:bCs w:val="0"/>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"_Toc117114380" </w:instrText>
          </w:r>
          <w:r>
            <w:fldChar w:fldCharType="separate"/>
          </w:r>
          <w:r>
            <w:rPr>
              <w:rStyle w:val="37"/>
              <w:rFonts w:ascii="Times New Roman" w:hAnsi="Times New Roman" w:cs="Times New Roman"/>
              <w:sz w:val="28"/>
              <w:szCs w:val="28"/>
            </w:rPr>
            <w:t>6.1 规划原则</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_Toc117114380 \h </w:instrText>
          </w:r>
          <w:r>
            <w:rPr>
              <w:rFonts w:ascii="Times New Roman" w:hAnsi="Times New Roman" w:cs="Times New Roman"/>
              <w:sz w:val="28"/>
              <w:szCs w:val="28"/>
            </w:rPr>
            <w:fldChar w:fldCharType="separate"/>
          </w:r>
          <w:r>
            <w:rPr>
              <w:rFonts w:ascii="Times New Roman" w:hAnsi="Times New Roman" w:cs="Times New Roman"/>
              <w:sz w:val="28"/>
              <w:szCs w:val="28"/>
            </w:rPr>
            <w:t>73</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"_Toc117114381" </w:instrText>
          </w:r>
          <w:r>
            <w:fldChar w:fldCharType="separate"/>
          </w:r>
          <w:r>
            <w:rPr>
              <w:rStyle w:val="37"/>
              <w:rFonts w:ascii="Times New Roman" w:hAnsi="Times New Roman" w:cs="Times New Roman"/>
              <w:sz w:val="28"/>
              <w:szCs w:val="28"/>
            </w:rPr>
            <w:t>6.2 水系和水资源保护（恢复）规划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_Toc117114381 \h </w:instrText>
          </w:r>
          <w:r>
            <w:rPr>
              <w:rFonts w:ascii="Times New Roman" w:hAnsi="Times New Roman" w:cs="Times New Roman"/>
              <w:sz w:val="28"/>
              <w:szCs w:val="28"/>
            </w:rPr>
            <w:fldChar w:fldCharType="separate"/>
          </w:r>
          <w:r>
            <w:rPr>
              <w:rFonts w:ascii="Times New Roman" w:hAnsi="Times New Roman" w:cs="Times New Roman"/>
              <w:sz w:val="28"/>
              <w:szCs w:val="28"/>
            </w:rPr>
            <w:t>73</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"_Toc117114382" </w:instrText>
          </w:r>
          <w:r>
            <w:fldChar w:fldCharType="separate"/>
          </w:r>
          <w:r>
            <w:rPr>
              <w:rStyle w:val="37"/>
              <w:rFonts w:ascii="Times New Roman" w:hAnsi="Times New Roman" w:cs="Times New Roman"/>
              <w:sz w:val="28"/>
              <w:szCs w:val="28"/>
            </w:rPr>
            <w:t>6.3 水质保护（恢复）规划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_Toc117114382 \h </w:instrText>
          </w:r>
          <w:r>
            <w:rPr>
              <w:rFonts w:ascii="Times New Roman" w:hAnsi="Times New Roman" w:cs="Times New Roman"/>
              <w:sz w:val="28"/>
              <w:szCs w:val="28"/>
            </w:rPr>
            <w:fldChar w:fldCharType="separate"/>
          </w:r>
          <w:r>
            <w:rPr>
              <w:rFonts w:ascii="Times New Roman" w:hAnsi="Times New Roman" w:cs="Times New Roman"/>
              <w:sz w:val="28"/>
              <w:szCs w:val="28"/>
            </w:rPr>
            <w:t>75</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"_Toc117114383" </w:instrText>
          </w:r>
          <w:r>
            <w:fldChar w:fldCharType="separate"/>
          </w:r>
          <w:r>
            <w:rPr>
              <w:rStyle w:val="37"/>
              <w:rFonts w:ascii="Times New Roman" w:hAnsi="Times New Roman" w:cs="Times New Roman"/>
              <w:sz w:val="28"/>
              <w:szCs w:val="28"/>
            </w:rPr>
            <w:t>6.4 水岸保护（恢复）规划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_Toc117114383 \h </w:instrText>
          </w:r>
          <w:r>
            <w:rPr>
              <w:rFonts w:ascii="Times New Roman" w:hAnsi="Times New Roman" w:cs="Times New Roman"/>
              <w:sz w:val="28"/>
              <w:szCs w:val="28"/>
            </w:rPr>
            <w:fldChar w:fldCharType="separate"/>
          </w:r>
          <w:r>
            <w:rPr>
              <w:rFonts w:ascii="Times New Roman" w:hAnsi="Times New Roman" w:cs="Times New Roman"/>
              <w:sz w:val="28"/>
              <w:szCs w:val="28"/>
            </w:rPr>
            <w:t>81</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"_Toc117114384" </w:instrText>
          </w:r>
          <w:r>
            <w:fldChar w:fldCharType="separate"/>
          </w:r>
          <w:r>
            <w:rPr>
              <w:rStyle w:val="37"/>
              <w:rFonts w:ascii="Times New Roman" w:hAnsi="Times New Roman" w:cs="Times New Roman"/>
              <w:sz w:val="28"/>
              <w:szCs w:val="28"/>
            </w:rPr>
            <w:t>6.5 栖息地保护（恢复）规划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_Toc117114384 \h </w:instrText>
          </w:r>
          <w:r>
            <w:rPr>
              <w:rFonts w:ascii="Times New Roman" w:hAnsi="Times New Roman" w:cs="Times New Roman"/>
              <w:sz w:val="28"/>
              <w:szCs w:val="28"/>
            </w:rPr>
            <w:fldChar w:fldCharType="separate"/>
          </w:r>
          <w:r>
            <w:rPr>
              <w:rFonts w:ascii="Times New Roman" w:hAnsi="Times New Roman" w:cs="Times New Roman"/>
              <w:sz w:val="28"/>
              <w:szCs w:val="28"/>
            </w:rPr>
            <w:t>87</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"_Toc117114385" </w:instrText>
          </w:r>
          <w:r>
            <w:fldChar w:fldCharType="separate"/>
          </w:r>
          <w:r>
            <w:rPr>
              <w:rStyle w:val="37"/>
              <w:rFonts w:ascii="Times New Roman" w:hAnsi="Times New Roman" w:cs="Times New Roman"/>
              <w:sz w:val="28"/>
              <w:szCs w:val="28"/>
            </w:rPr>
            <w:t>6.6 其他保护规划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_Toc117114385 \h </w:instrText>
          </w:r>
          <w:r>
            <w:rPr>
              <w:rFonts w:ascii="Times New Roman" w:hAnsi="Times New Roman" w:cs="Times New Roman"/>
              <w:sz w:val="28"/>
              <w:szCs w:val="28"/>
            </w:rPr>
            <w:fldChar w:fldCharType="separate"/>
          </w:r>
          <w:r>
            <w:rPr>
              <w:rFonts w:ascii="Times New Roman" w:hAnsi="Times New Roman" w:cs="Times New Roman"/>
              <w:sz w:val="28"/>
              <w:szCs w:val="28"/>
            </w:rPr>
            <w:t>92</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5"/>
            <w:tabs>
              <w:tab w:val="right" w:leader="dot" w:pos="8778"/>
            </w:tabs>
            <w:spacing w:before="0" w:after="0" w:line="600" w:lineRule="exact"/>
            <w:ind w:firstLine="0" w:firstLineChars="0"/>
            <w:rPr>
              <w:rFonts w:ascii="Times New Roman" w:hAnsi="Times New Roman" w:cs="Times New Roman"/>
              <w:b w:val="0"/>
              <w:bCs w:val="0"/>
              <w:caps w:val="0"/>
              <w:sz w:val="28"/>
              <w:szCs w:val="28"/>
            </w:rPr>
          </w:pPr>
          <w:r>
            <w:fldChar w:fldCharType="begin"/>
          </w:r>
          <w:r>
            <w:instrText xml:space="preserve"> HYPERLINK \l "_Toc117114386" </w:instrText>
          </w:r>
          <w:r>
            <w:fldChar w:fldCharType="separate"/>
          </w:r>
          <w:r>
            <w:rPr>
              <w:rStyle w:val="37"/>
              <w:rFonts w:ascii="Times New Roman" w:hAnsi="Times New Roman" w:cs="Times New Roman"/>
              <w:sz w:val="28"/>
              <w:szCs w:val="28"/>
            </w:rPr>
            <w:t>第7章 科普宣教规划</w:t>
          </w:r>
          <w:r>
            <w:rPr>
              <w:rFonts w:ascii="Times New Roman" w:hAnsi="Times New Roman" w:cs="Times New Roman"/>
              <w:b w:val="0"/>
              <w:bCs w:val="0"/>
              <w:sz w:val="28"/>
              <w:szCs w:val="28"/>
            </w:rPr>
            <w:tab/>
          </w:r>
          <w:r>
            <w:rPr>
              <w:rFonts w:ascii="Times New Roman" w:hAnsi="Times New Roman" w:cs="Times New Roman"/>
              <w:b w:val="0"/>
              <w:bCs w:val="0"/>
              <w:sz w:val="28"/>
              <w:szCs w:val="28"/>
            </w:rPr>
            <w:fldChar w:fldCharType="begin"/>
          </w:r>
          <w:r>
            <w:rPr>
              <w:rFonts w:ascii="Times New Roman" w:hAnsi="Times New Roman" w:cs="Times New Roman"/>
              <w:b w:val="0"/>
              <w:bCs w:val="0"/>
              <w:sz w:val="28"/>
              <w:szCs w:val="28"/>
            </w:rPr>
            <w:instrText xml:space="preserve"> PAGEREF _Toc117114386 \h </w:instrText>
          </w:r>
          <w:r>
            <w:rPr>
              <w:rFonts w:ascii="Times New Roman" w:hAnsi="Times New Roman" w:cs="Times New Roman"/>
              <w:b w:val="0"/>
              <w:bCs w:val="0"/>
              <w:sz w:val="28"/>
              <w:szCs w:val="28"/>
            </w:rPr>
            <w:fldChar w:fldCharType="separate"/>
          </w:r>
          <w:r>
            <w:rPr>
              <w:rFonts w:ascii="Times New Roman" w:hAnsi="Times New Roman" w:cs="Times New Roman"/>
              <w:b w:val="0"/>
              <w:bCs w:val="0"/>
              <w:sz w:val="28"/>
              <w:szCs w:val="28"/>
            </w:rPr>
            <w:t>99</w:t>
          </w:r>
          <w:r>
            <w:rPr>
              <w:rFonts w:ascii="Times New Roman" w:hAnsi="Times New Roman" w:cs="Times New Roman"/>
              <w:b w:val="0"/>
              <w:bCs w:val="0"/>
              <w:sz w:val="28"/>
              <w:szCs w:val="28"/>
            </w:rPr>
            <w:fldChar w:fldCharType="end"/>
          </w:r>
          <w:r>
            <w:rPr>
              <w:rFonts w:ascii="Times New Roman" w:hAnsi="Times New Roman" w:cs="Times New Roman"/>
              <w:b w:val="0"/>
              <w:bCs w:val="0"/>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"_Toc117114387" </w:instrText>
          </w:r>
          <w:r>
            <w:fldChar w:fldCharType="separate"/>
          </w:r>
          <w:r>
            <w:rPr>
              <w:rStyle w:val="37"/>
              <w:rFonts w:ascii="Times New Roman" w:hAnsi="Times New Roman" w:cs="Times New Roman"/>
              <w:sz w:val="28"/>
              <w:szCs w:val="28"/>
            </w:rPr>
            <w:t>7.1 规划原则</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_Toc117114387 \h </w:instrText>
          </w:r>
          <w:r>
            <w:rPr>
              <w:rFonts w:ascii="Times New Roman" w:hAnsi="Times New Roman" w:cs="Times New Roman"/>
              <w:sz w:val="28"/>
              <w:szCs w:val="28"/>
            </w:rPr>
            <w:fldChar w:fldCharType="separate"/>
          </w:r>
          <w:r>
            <w:rPr>
              <w:rFonts w:ascii="Times New Roman" w:hAnsi="Times New Roman" w:cs="Times New Roman"/>
              <w:sz w:val="28"/>
              <w:szCs w:val="28"/>
            </w:rPr>
            <w:t>99</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"_Toc117114388" </w:instrText>
          </w:r>
          <w:r>
            <w:fldChar w:fldCharType="separate"/>
          </w:r>
          <w:r>
            <w:rPr>
              <w:rStyle w:val="37"/>
              <w:rFonts w:ascii="Times New Roman" w:hAnsi="Times New Roman" w:cs="Times New Roman"/>
              <w:sz w:val="28"/>
              <w:szCs w:val="28"/>
            </w:rPr>
            <w:t>7.2 宣教主题</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_Toc117114388 \h </w:instrText>
          </w:r>
          <w:r>
            <w:rPr>
              <w:rFonts w:ascii="Times New Roman" w:hAnsi="Times New Roman" w:cs="Times New Roman"/>
              <w:sz w:val="28"/>
              <w:szCs w:val="28"/>
            </w:rPr>
            <w:fldChar w:fldCharType="separate"/>
          </w:r>
          <w:r>
            <w:rPr>
              <w:rFonts w:ascii="Times New Roman" w:hAnsi="Times New Roman" w:cs="Times New Roman"/>
              <w:sz w:val="28"/>
              <w:szCs w:val="28"/>
            </w:rPr>
            <w:t>99</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"_Toc117114389" </w:instrText>
          </w:r>
          <w:r>
            <w:fldChar w:fldCharType="separate"/>
          </w:r>
          <w:r>
            <w:rPr>
              <w:rStyle w:val="37"/>
              <w:rFonts w:ascii="Times New Roman" w:hAnsi="Times New Roman" w:cs="Times New Roman"/>
              <w:sz w:val="28"/>
              <w:szCs w:val="28"/>
            </w:rPr>
            <w:t>7.3 建设内容</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_Toc117114389 \h </w:instrText>
          </w:r>
          <w:r>
            <w:rPr>
              <w:rFonts w:ascii="Times New Roman" w:hAnsi="Times New Roman" w:cs="Times New Roman"/>
              <w:sz w:val="28"/>
              <w:szCs w:val="28"/>
            </w:rPr>
            <w:fldChar w:fldCharType="separate"/>
          </w:r>
          <w:r>
            <w:rPr>
              <w:rFonts w:ascii="Times New Roman" w:hAnsi="Times New Roman" w:cs="Times New Roman"/>
              <w:sz w:val="28"/>
              <w:szCs w:val="28"/>
            </w:rPr>
            <w:t>102</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5"/>
            <w:tabs>
              <w:tab w:val="right" w:leader="dot" w:pos="8778"/>
            </w:tabs>
            <w:spacing w:before="0" w:after="0" w:line="600" w:lineRule="exact"/>
            <w:ind w:firstLine="0" w:firstLineChars="0"/>
            <w:rPr>
              <w:rFonts w:ascii="Times New Roman" w:hAnsi="Times New Roman" w:cs="Times New Roman"/>
              <w:b w:val="0"/>
              <w:bCs w:val="0"/>
              <w:caps w:val="0"/>
              <w:sz w:val="28"/>
              <w:szCs w:val="28"/>
            </w:rPr>
          </w:pPr>
          <w:r>
            <w:fldChar w:fldCharType="begin"/>
          </w:r>
          <w:r>
            <w:instrText xml:space="preserve"> HYPERLINK \l "_Toc117114390" </w:instrText>
          </w:r>
          <w:r>
            <w:fldChar w:fldCharType="separate"/>
          </w:r>
          <w:r>
            <w:rPr>
              <w:rStyle w:val="37"/>
              <w:rFonts w:ascii="Times New Roman" w:hAnsi="Times New Roman" w:cs="Times New Roman"/>
              <w:sz w:val="28"/>
              <w:szCs w:val="28"/>
            </w:rPr>
            <w:t>第8章 科研监测规划</w:t>
          </w:r>
          <w:r>
            <w:rPr>
              <w:rFonts w:ascii="Times New Roman" w:hAnsi="Times New Roman" w:cs="Times New Roman"/>
              <w:b w:val="0"/>
              <w:bCs w:val="0"/>
              <w:sz w:val="28"/>
              <w:szCs w:val="28"/>
            </w:rPr>
            <w:tab/>
          </w:r>
          <w:r>
            <w:rPr>
              <w:rFonts w:ascii="Times New Roman" w:hAnsi="Times New Roman" w:cs="Times New Roman"/>
              <w:b w:val="0"/>
              <w:bCs w:val="0"/>
              <w:sz w:val="28"/>
              <w:szCs w:val="28"/>
            </w:rPr>
            <w:fldChar w:fldCharType="begin"/>
          </w:r>
          <w:r>
            <w:rPr>
              <w:rFonts w:ascii="Times New Roman" w:hAnsi="Times New Roman" w:cs="Times New Roman"/>
              <w:b w:val="0"/>
              <w:bCs w:val="0"/>
              <w:sz w:val="28"/>
              <w:szCs w:val="28"/>
            </w:rPr>
            <w:instrText xml:space="preserve"> PAGEREF _Toc117114390 \h </w:instrText>
          </w:r>
          <w:r>
            <w:rPr>
              <w:rFonts w:ascii="Times New Roman" w:hAnsi="Times New Roman" w:cs="Times New Roman"/>
              <w:b w:val="0"/>
              <w:bCs w:val="0"/>
              <w:sz w:val="28"/>
              <w:szCs w:val="28"/>
            </w:rPr>
            <w:fldChar w:fldCharType="separate"/>
          </w:r>
          <w:r>
            <w:rPr>
              <w:rFonts w:ascii="Times New Roman" w:hAnsi="Times New Roman" w:cs="Times New Roman"/>
              <w:b w:val="0"/>
              <w:bCs w:val="0"/>
              <w:sz w:val="28"/>
              <w:szCs w:val="28"/>
            </w:rPr>
            <w:t>109</w:t>
          </w:r>
          <w:r>
            <w:rPr>
              <w:rFonts w:ascii="Times New Roman" w:hAnsi="Times New Roman" w:cs="Times New Roman"/>
              <w:b w:val="0"/>
              <w:bCs w:val="0"/>
              <w:sz w:val="28"/>
              <w:szCs w:val="28"/>
            </w:rPr>
            <w:fldChar w:fldCharType="end"/>
          </w:r>
          <w:r>
            <w:rPr>
              <w:rFonts w:ascii="Times New Roman" w:hAnsi="Times New Roman" w:cs="Times New Roman"/>
              <w:b w:val="0"/>
              <w:bCs w:val="0"/>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"_Toc117114391" </w:instrText>
          </w:r>
          <w:r>
            <w:fldChar w:fldCharType="separate"/>
          </w:r>
          <w:r>
            <w:rPr>
              <w:rStyle w:val="37"/>
              <w:rFonts w:ascii="Times New Roman" w:hAnsi="Times New Roman" w:cs="Times New Roman"/>
              <w:sz w:val="28"/>
              <w:szCs w:val="28"/>
            </w:rPr>
            <w:t>8.1 规划原则与目标</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_Toc117114391 \h </w:instrText>
          </w:r>
          <w:r>
            <w:rPr>
              <w:rFonts w:ascii="Times New Roman" w:hAnsi="Times New Roman" w:cs="Times New Roman"/>
              <w:sz w:val="28"/>
              <w:szCs w:val="28"/>
            </w:rPr>
            <w:fldChar w:fldCharType="separate"/>
          </w:r>
          <w:r>
            <w:rPr>
              <w:rFonts w:ascii="Times New Roman" w:hAnsi="Times New Roman" w:cs="Times New Roman"/>
              <w:sz w:val="28"/>
              <w:szCs w:val="28"/>
            </w:rPr>
            <w:t>109</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"_Toc117114392" </w:instrText>
          </w:r>
          <w:r>
            <w:fldChar w:fldCharType="separate"/>
          </w:r>
          <w:r>
            <w:rPr>
              <w:rStyle w:val="37"/>
              <w:rFonts w:ascii="Times New Roman" w:hAnsi="Times New Roman" w:cs="Times New Roman"/>
              <w:sz w:val="28"/>
              <w:szCs w:val="28"/>
            </w:rPr>
            <w:t>8.2 科研规划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_Toc117114392 \h </w:instrText>
          </w:r>
          <w:r>
            <w:rPr>
              <w:rFonts w:ascii="Times New Roman" w:hAnsi="Times New Roman" w:cs="Times New Roman"/>
              <w:sz w:val="28"/>
              <w:szCs w:val="28"/>
            </w:rPr>
            <w:fldChar w:fldCharType="separate"/>
          </w:r>
          <w:r>
            <w:rPr>
              <w:rFonts w:ascii="Times New Roman" w:hAnsi="Times New Roman" w:cs="Times New Roman"/>
              <w:sz w:val="28"/>
              <w:szCs w:val="28"/>
            </w:rPr>
            <w:t>111</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"_Toc117114393" </w:instrText>
          </w:r>
          <w:r>
            <w:fldChar w:fldCharType="separate"/>
          </w:r>
          <w:r>
            <w:rPr>
              <w:rStyle w:val="37"/>
              <w:rFonts w:ascii="Times New Roman" w:hAnsi="Times New Roman" w:cs="Times New Roman"/>
              <w:sz w:val="28"/>
              <w:szCs w:val="28"/>
            </w:rPr>
            <w:t>8.3 监测规划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_Toc117114393 \h </w:instrText>
          </w:r>
          <w:r>
            <w:rPr>
              <w:rFonts w:ascii="Times New Roman" w:hAnsi="Times New Roman" w:cs="Times New Roman"/>
              <w:sz w:val="28"/>
              <w:szCs w:val="28"/>
            </w:rPr>
            <w:fldChar w:fldCharType="separate"/>
          </w:r>
          <w:r>
            <w:rPr>
              <w:rFonts w:ascii="Times New Roman" w:hAnsi="Times New Roman" w:cs="Times New Roman"/>
              <w:sz w:val="28"/>
              <w:szCs w:val="28"/>
            </w:rPr>
            <w:t>113</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5"/>
            <w:tabs>
              <w:tab w:val="right" w:leader="dot" w:pos="8778"/>
            </w:tabs>
            <w:spacing w:before="0" w:after="0" w:line="600" w:lineRule="exact"/>
            <w:ind w:firstLine="0" w:firstLineChars="0"/>
            <w:rPr>
              <w:rFonts w:ascii="Times New Roman" w:hAnsi="Times New Roman" w:cs="Times New Roman"/>
              <w:b w:val="0"/>
              <w:bCs w:val="0"/>
              <w:caps w:val="0"/>
              <w:sz w:val="28"/>
              <w:szCs w:val="28"/>
            </w:rPr>
          </w:pPr>
          <w:r>
            <w:fldChar w:fldCharType="begin"/>
          </w:r>
          <w:r>
            <w:instrText xml:space="preserve"> HYPERLINK \l "_Toc117114394" </w:instrText>
          </w:r>
          <w:r>
            <w:fldChar w:fldCharType="separate"/>
          </w:r>
          <w:r>
            <w:rPr>
              <w:rStyle w:val="37"/>
              <w:rFonts w:ascii="Times New Roman" w:hAnsi="Times New Roman" w:cs="Times New Roman"/>
              <w:sz w:val="28"/>
              <w:szCs w:val="28"/>
            </w:rPr>
            <w:t>第9章 合理利用规划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_Toc117114394 \h </w:instrText>
          </w:r>
          <w:r>
            <w:rPr>
              <w:rFonts w:ascii="Times New Roman" w:hAnsi="Times New Roman" w:cs="Times New Roman"/>
              <w:sz w:val="28"/>
              <w:szCs w:val="28"/>
            </w:rPr>
            <w:fldChar w:fldCharType="separate"/>
          </w:r>
          <w:r>
            <w:rPr>
              <w:rFonts w:ascii="Times New Roman" w:hAnsi="Times New Roman" w:cs="Times New Roman"/>
              <w:sz w:val="28"/>
              <w:szCs w:val="28"/>
            </w:rPr>
            <w:t>119</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"_Toc117114395" </w:instrText>
          </w:r>
          <w:r>
            <w:fldChar w:fldCharType="separate"/>
          </w:r>
          <w:r>
            <w:rPr>
              <w:rStyle w:val="37"/>
              <w:rFonts w:ascii="Times New Roman" w:hAnsi="Times New Roman" w:cs="Times New Roman"/>
              <w:sz w:val="28"/>
              <w:szCs w:val="28"/>
            </w:rPr>
            <w:t>9.1 规划原则</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_Toc117114395 \h </w:instrText>
          </w:r>
          <w:r>
            <w:rPr>
              <w:rFonts w:ascii="Times New Roman" w:hAnsi="Times New Roman" w:cs="Times New Roman"/>
              <w:sz w:val="28"/>
              <w:szCs w:val="28"/>
            </w:rPr>
            <w:fldChar w:fldCharType="separate"/>
          </w:r>
          <w:r>
            <w:rPr>
              <w:rFonts w:ascii="Times New Roman" w:hAnsi="Times New Roman" w:cs="Times New Roman"/>
              <w:sz w:val="28"/>
              <w:szCs w:val="28"/>
            </w:rPr>
            <w:t>119</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"_Toc117114396" </w:instrText>
          </w:r>
          <w:r>
            <w:fldChar w:fldCharType="separate"/>
          </w:r>
          <w:r>
            <w:rPr>
              <w:rStyle w:val="37"/>
              <w:rFonts w:ascii="Times New Roman" w:hAnsi="Times New Roman" w:cs="Times New Roman"/>
              <w:sz w:val="28"/>
              <w:szCs w:val="28"/>
            </w:rPr>
            <w:t>9.2 资源利用方式</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_Toc117114396 \h </w:instrText>
          </w:r>
          <w:r>
            <w:rPr>
              <w:rFonts w:ascii="Times New Roman" w:hAnsi="Times New Roman" w:cs="Times New Roman"/>
              <w:sz w:val="28"/>
              <w:szCs w:val="28"/>
            </w:rPr>
            <w:fldChar w:fldCharType="separate"/>
          </w:r>
          <w:r>
            <w:rPr>
              <w:rFonts w:ascii="Times New Roman" w:hAnsi="Times New Roman" w:cs="Times New Roman"/>
              <w:sz w:val="28"/>
              <w:szCs w:val="28"/>
            </w:rPr>
            <w:t>120</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"_Toc117114397" </w:instrText>
          </w:r>
          <w:r>
            <w:fldChar w:fldCharType="separate"/>
          </w:r>
          <w:r>
            <w:rPr>
              <w:rStyle w:val="37"/>
              <w:rFonts w:ascii="Times New Roman" w:hAnsi="Times New Roman" w:cs="Times New Roman"/>
              <w:sz w:val="28"/>
              <w:szCs w:val="28"/>
            </w:rPr>
            <w:t>9.3 环境容量及游客容量预测</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_Toc117114397 \h </w:instrText>
          </w:r>
          <w:r>
            <w:rPr>
              <w:rFonts w:ascii="Times New Roman" w:hAnsi="Times New Roman" w:cs="Times New Roman"/>
              <w:sz w:val="28"/>
              <w:szCs w:val="28"/>
            </w:rPr>
            <w:fldChar w:fldCharType="separate"/>
          </w:r>
          <w:r>
            <w:rPr>
              <w:rFonts w:ascii="Times New Roman" w:hAnsi="Times New Roman" w:cs="Times New Roman"/>
              <w:sz w:val="28"/>
              <w:szCs w:val="28"/>
            </w:rPr>
            <w:t>120</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"_Toc117114398" </w:instrText>
          </w:r>
          <w:r>
            <w:fldChar w:fldCharType="separate"/>
          </w:r>
          <w:r>
            <w:rPr>
              <w:rStyle w:val="37"/>
              <w:rFonts w:ascii="Times New Roman" w:hAnsi="Times New Roman" w:cs="Times New Roman"/>
              <w:sz w:val="28"/>
              <w:szCs w:val="28"/>
            </w:rPr>
            <w:t>9.4 客源市场分析与游客规模分析</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_Toc117114398 \h </w:instrText>
          </w:r>
          <w:r>
            <w:rPr>
              <w:rFonts w:ascii="Times New Roman" w:hAnsi="Times New Roman" w:cs="Times New Roman"/>
              <w:sz w:val="28"/>
              <w:szCs w:val="28"/>
            </w:rPr>
            <w:fldChar w:fldCharType="separate"/>
          </w:r>
          <w:r>
            <w:rPr>
              <w:rFonts w:ascii="Times New Roman" w:hAnsi="Times New Roman" w:cs="Times New Roman"/>
              <w:sz w:val="28"/>
              <w:szCs w:val="28"/>
            </w:rPr>
            <w:t>122</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"_Toc117114399" </w:instrText>
          </w:r>
          <w:r>
            <w:fldChar w:fldCharType="separate"/>
          </w:r>
          <w:r>
            <w:rPr>
              <w:rStyle w:val="37"/>
              <w:rFonts w:ascii="Times New Roman" w:hAnsi="Times New Roman" w:cs="Times New Roman"/>
              <w:sz w:val="28"/>
              <w:szCs w:val="28"/>
            </w:rPr>
            <w:t>9.5 利用项目规划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_Toc117114399 \h </w:instrText>
          </w:r>
          <w:r>
            <w:rPr>
              <w:rFonts w:ascii="Times New Roman" w:hAnsi="Times New Roman" w:cs="Times New Roman"/>
              <w:sz w:val="28"/>
              <w:szCs w:val="28"/>
            </w:rPr>
            <w:fldChar w:fldCharType="separate"/>
          </w:r>
          <w:r>
            <w:rPr>
              <w:rFonts w:ascii="Times New Roman" w:hAnsi="Times New Roman" w:cs="Times New Roman"/>
              <w:sz w:val="28"/>
              <w:szCs w:val="28"/>
            </w:rPr>
            <w:t>123</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5"/>
            <w:tabs>
              <w:tab w:val="right" w:leader="dot" w:pos="8778"/>
            </w:tabs>
            <w:spacing w:before="0" w:after="0" w:line="600" w:lineRule="exact"/>
            <w:ind w:firstLine="0" w:firstLineChars="0"/>
            <w:rPr>
              <w:rFonts w:ascii="Times New Roman" w:hAnsi="Times New Roman" w:cs="Times New Roman"/>
              <w:b w:val="0"/>
              <w:bCs w:val="0"/>
              <w:caps w:val="0"/>
              <w:sz w:val="28"/>
              <w:szCs w:val="28"/>
            </w:rPr>
          </w:pPr>
          <w:r>
            <w:fldChar w:fldCharType="begin"/>
          </w:r>
          <w:r>
            <w:instrText xml:space="preserve"> HYPERLINK \l "_Toc117114400" </w:instrText>
          </w:r>
          <w:r>
            <w:fldChar w:fldCharType="separate"/>
          </w:r>
          <w:r>
            <w:rPr>
              <w:rStyle w:val="37"/>
              <w:rFonts w:ascii="Times New Roman" w:hAnsi="Times New Roman" w:cs="Times New Roman"/>
              <w:sz w:val="28"/>
              <w:szCs w:val="28"/>
            </w:rPr>
            <w:t>第10章 防御灾害规划</w:t>
          </w:r>
          <w:r>
            <w:rPr>
              <w:rFonts w:ascii="Times New Roman" w:hAnsi="Times New Roman" w:cs="Times New Roman"/>
              <w:b w:val="0"/>
              <w:bCs w:val="0"/>
              <w:sz w:val="28"/>
              <w:szCs w:val="28"/>
            </w:rPr>
            <w:tab/>
          </w:r>
          <w:r>
            <w:rPr>
              <w:rFonts w:ascii="Times New Roman" w:hAnsi="Times New Roman" w:cs="Times New Roman"/>
              <w:b w:val="0"/>
              <w:bCs w:val="0"/>
              <w:sz w:val="28"/>
              <w:szCs w:val="28"/>
            </w:rPr>
            <w:fldChar w:fldCharType="begin"/>
          </w:r>
          <w:r>
            <w:rPr>
              <w:rFonts w:ascii="Times New Roman" w:hAnsi="Times New Roman" w:cs="Times New Roman"/>
              <w:b w:val="0"/>
              <w:bCs w:val="0"/>
              <w:sz w:val="28"/>
              <w:szCs w:val="28"/>
            </w:rPr>
            <w:instrText xml:space="preserve"> PAGEREF _Toc117114400 \h </w:instrText>
          </w:r>
          <w:r>
            <w:rPr>
              <w:rFonts w:ascii="Times New Roman" w:hAnsi="Times New Roman" w:cs="Times New Roman"/>
              <w:b w:val="0"/>
              <w:bCs w:val="0"/>
              <w:sz w:val="28"/>
              <w:szCs w:val="28"/>
            </w:rPr>
            <w:fldChar w:fldCharType="separate"/>
          </w:r>
          <w:r>
            <w:rPr>
              <w:rFonts w:ascii="Times New Roman" w:hAnsi="Times New Roman" w:cs="Times New Roman"/>
              <w:b w:val="0"/>
              <w:bCs w:val="0"/>
              <w:sz w:val="28"/>
              <w:szCs w:val="28"/>
            </w:rPr>
            <w:t>133</w:t>
          </w:r>
          <w:r>
            <w:rPr>
              <w:rFonts w:ascii="Times New Roman" w:hAnsi="Times New Roman" w:cs="Times New Roman"/>
              <w:b w:val="0"/>
              <w:bCs w:val="0"/>
              <w:sz w:val="28"/>
              <w:szCs w:val="28"/>
            </w:rPr>
            <w:fldChar w:fldCharType="end"/>
          </w:r>
          <w:r>
            <w:rPr>
              <w:rFonts w:ascii="Times New Roman" w:hAnsi="Times New Roman" w:cs="Times New Roman"/>
              <w:b w:val="0"/>
              <w:bCs w:val="0"/>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"_Toc117114401" </w:instrText>
          </w:r>
          <w:r>
            <w:fldChar w:fldCharType="separate"/>
          </w:r>
          <w:r>
            <w:rPr>
              <w:rStyle w:val="37"/>
              <w:rFonts w:ascii="Times New Roman" w:hAnsi="Times New Roman" w:cs="Times New Roman"/>
              <w:sz w:val="28"/>
              <w:szCs w:val="28"/>
            </w:rPr>
            <w:t>10.1 有害生物防治规划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_Toc117114401 \h </w:instrText>
          </w:r>
          <w:r>
            <w:rPr>
              <w:rFonts w:ascii="Times New Roman" w:hAnsi="Times New Roman" w:cs="Times New Roman"/>
              <w:sz w:val="28"/>
              <w:szCs w:val="28"/>
            </w:rPr>
            <w:fldChar w:fldCharType="separate"/>
          </w:r>
          <w:r>
            <w:rPr>
              <w:rFonts w:ascii="Times New Roman" w:hAnsi="Times New Roman" w:cs="Times New Roman"/>
              <w:sz w:val="28"/>
              <w:szCs w:val="28"/>
            </w:rPr>
            <w:t>133</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"_Toc117114402" </w:instrText>
          </w:r>
          <w:r>
            <w:fldChar w:fldCharType="separate"/>
          </w:r>
          <w:r>
            <w:rPr>
              <w:rStyle w:val="37"/>
              <w:rFonts w:ascii="Times New Roman" w:hAnsi="Times New Roman" w:cs="Times New Roman"/>
              <w:sz w:val="28"/>
              <w:szCs w:val="28"/>
            </w:rPr>
            <w:t>10.2 地质灾害防治规划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_Toc117114402 \h </w:instrText>
          </w:r>
          <w:r>
            <w:rPr>
              <w:rFonts w:ascii="Times New Roman" w:hAnsi="Times New Roman" w:cs="Times New Roman"/>
              <w:sz w:val="28"/>
              <w:szCs w:val="28"/>
            </w:rPr>
            <w:fldChar w:fldCharType="separate"/>
          </w:r>
          <w:r>
            <w:rPr>
              <w:rFonts w:ascii="Times New Roman" w:hAnsi="Times New Roman" w:cs="Times New Roman"/>
              <w:sz w:val="28"/>
              <w:szCs w:val="28"/>
            </w:rPr>
            <w:t>135</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"_Toc117114403" </w:instrText>
          </w:r>
          <w:r>
            <w:fldChar w:fldCharType="separate"/>
          </w:r>
          <w:r>
            <w:rPr>
              <w:rStyle w:val="37"/>
              <w:rFonts w:ascii="Times New Roman" w:hAnsi="Times New Roman" w:cs="Times New Roman"/>
              <w:sz w:val="28"/>
              <w:szCs w:val="28"/>
            </w:rPr>
            <w:t>10.3 洪涝防治规划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_Toc117114403 \h </w:instrText>
          </w:r>
          <w:r>
            <w:rPr>
              <w:rFonts w:ascii="Times New Roman" w:hAnsi="Times New Roman" w:cs="Times New Roman"/>
              <w:sz w:val="28"/>
              <w:szCs w:val="28"/>
            </w:rPr>
            <w:fldChar w:fldCharType="separate"/>
          </w:r>
          <w:r>
            <w:rPr>
              <w:rFonts w:ascii="Times New Roman" w:hAnsi="Times New Roman" w:cs="Times New Roman"/>
              <w:sz w:val="28"/>
              <w:szCs w:val="28"/>
            </w:rPr>
            <w:t>135</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"_Toc117114404" </w:instrText>
          </w:r>
          <w:r>
            <w:fldChar w:fldCharType="separate"/>
          </w:r>
          <w:r>
            <w:rPr>
              <w:rStyle w:val="37"/>
              <w:rFonts w:ascii="Times New Roman" w:hAnsi="Times New Roman" w:cs="Times New Roman"/>
              <w:sz w:val="28"/>
              <w:szCs w:val="28"/>
            </w:rPr>
            <w:t>10.4 防火规划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_Toc117114404 \h </w:instrText>
          </w:r>
          <w:r>
            <w:rPr>
              <w:rFonts w:ascii="Times New Roman" w:hAnsi="Times New Roman" w:cs="Times New Roman"/>
              <w:sz w:val="28"/>
              <w:szCs w:val="28"/>
            </w:rPr>
            <w:fldChar w:fldCharType="separate"/>
          </w:r>
          <w:r>
            <w:rPr>
              <w:rFonts w:ascii="Times New Roman" w:hAnsi="Times New Roman" w:cs="Times New Roman"/>
              <w:sz w:val="28"/>
              <w:szCs w:val="28"/>
            </w:rPr>
            <w:t>137</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"_Toc117114405" </w:instrText>
          </w:r>
          <w:r>
            <w:fldChar w:fldCharType="separate"/>
          </w:r>
          <w:r>
            <w:rPr>
              <w:rStyle w:val="37"/>
              <w:rFonts w:ascii="Times New Roman" w:hAnsi="Times New Roman" w:cs="Times New Roman"/>
              <w:sz w:val="28"/>
              <w:szCs w:val="28"/>
            </w:rPr>
            <w:t>10.5 应急救援安全规划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_Toc117114405 \h </w:instrText>
          </w:r>
          <w:r>
            <w:rPr>
              <w:rFonts w:ascii="Times New Roman" w:hAnsi="Times New Roman" w:cs="Times New Roman"/>
              <w:sz w:val="28"/>
              <w:szCs w:val="28"/>
            </w:rPr>
            <w:fldChar w:fldCharType="separate"/>
          </w:r>
          <w:r>
            <w:rPr>
              <w:rFonts w:ascii="Times New Roman" w:hAnsi="Times New Roman" w:cs="Times New Roman"/>
              <w:sz w:val="28"/>
              <w:szCs w:val="28"/>
            </w:rPr>
            <w:t>138</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5"/>
            <w:tabs>
              <w:tab w:val="right" w:leader="dot" w:pos="8778"/>
            </w:tabs>
            <w:spacing w:before="0" w:after="0" w:line="600" w:lineRule="exact"/>
            <w:ind w:firstLine="0" w:firstLineChars="0"/>
            <w:rPr>
              <w:rFonts w:ascii="Times New Roman" w:hAnsi="Times New Roman" w:cs="Times New Roman"/>
              <w:b w:val="0"/>
              <w:bCs w:val="0"/>
              <w:caps w:val="0"/>
              <w:sz w:val="28"/>
              <w:szCs w:val="28"/>
            </w:rPr>
          </w:pPr>
          <w:r>
            <w:fldChar w:fldCharType="begin"/>
          </w:r>
          <w:r>
            <w:instrText xml:space="preserve"> HYPERLINK \l "_Toc117114406" </w:instrText>
          </w:r>
          <w:r>
            <w:fldChar w:fldCharType="separate"/>
          </w:r>
          <w:r>
            <w:rPr>
              <w:rStyle w:val="37"/>
              <w:rFonts w:ascii="Times New Roman" w:hAnsi="Times New Roman" w:cs="Times New Roman"/>
              <w:sz w:val="28"/>
              <w:szCs w:val="28"/>
            </w:rPr>
            <w:t>第11章 基础工程规划</w:t>
          </w:r>
          <w:r>
            <w:rPr>
              <w:rFonts w:ascii="Times New Roman" w:hAnsi="Times New Roman" w:cs="Times New Roman"/>
              <w:b w:val="0"/>
              <w:bCs w:val="0"/>
              <w:sz w:val="28"/>
              <w:szCs w:val="28"/>
            </w:rPr>
            <w:tab/>
          </w:r>
          <w:r>
            <w:rPr>
              <w:rFonts w:ascii="Times New Roman" w:hAnsi="Times New Roman" w:cs="Times New Roman"/>
              <w:b w:val="0"/>
              <w:bCs w:val="0"/>
              <w:sz w:val="28"/>
              <w:szCs w:val="28"/>
            </w:rPr>
            <w:fldChar w:fldCharType="begin"/>
          </w:r>
          <w:r>
            <w:rPr>
              <w:rFonts w:ascii="Times New Roman" w:hAnsi="Times New Roman" w:cs="Times New Roman"/>
              <w:b w:val="0"/>
              <w:bCs w:val="0"/>
              <w:sz w:val="28"/>
              <w:szCs w:val="28"/>
            </w:rPr>
            <w:instrText xml:space="preserve"> PAGEREF _Toc117114406 \h </w:instrText>
          </w:r>
          <w:r>
            <w:rPr>
              <w:rFonts w:ascii="Times New Roman" w:hAnsi="Times New Roman" w:cs="Times New Roman"/>
              <w:b w:val="0"/>
              <w:bCs w:val="0"/>
              <w:sz w:val="28"/>
              <w:szCs w:val="28"/>
            </w:rPr>
            <w:fldChar w:fldCharType="separate"/>
          </w:r>
          <w:r>
            <w:rPr>
              <w:rFonts w:ascii="Times New Roman" w:hAnsi="Times New Roman" w:cs="Times New Roman"/>
              <w:b w:val="0"/>
              <w:bCs w:val="0"/>
              <w:sz w:val="28"/>
              <w:szCs w:val="28"/>
            </w:rPr>
            <w:t>142</w:t>
          </w:r>
          <w:r>
            <w:rPr>
              <w:rFonts w:ascii="Times New Roman" w:hAnsi="Times New Roman" w:cs="Times New Roman"/>
              <w:b w:val="0"/>
              <w:bCs w:val="0"/>
              <w:sz w:val="28"/>
              <w:szCs w:val="28"/>
            </w:rPr>
            <w:fldChar w:fldCharType="end"/>
          </w:r>
          <w:r>
            <w:rPr>
              <w:rFonts w:ascii="Times New Roman" w:hAnsi="Times New Roman" w:cs="Times New Roman"/>
              <w:b w:val="0"/>
              <w:bCs w:val="0"/>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"_Toc117114407" </w:instrText>
          </w:r>
          <w:r>
            <w:fldChar w:fldCharType="separate"/>
          </w:r>
          <w:r>
            <w:rPr>
              <w:rStyle w:val="37"/>
              <w:rFonts w:ascii="Times New Roman" w:hAnsi="Times New Roman" w:cs="Times New Roman"/>
              <w:sz w:val="28"/>
              <w:szCs w:val="28"/>
            </w:rPr>
            <w:t>11.1 道路交通规划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_Toc117114407 \h </w:instrText>
          </w:r>
          <w:r>
            <w:rPr>
              <w:rFonts w:ascii="Times New Roman" w:hAnsi="Times New Roman" w:cs="Times New Roman"/>
              <w:sz w:val="28"/>
              <w:szCs w:val="28"/>
            </w:rPr>
            <w:fldChar w:fldCharType="separate"/>
          </w:r>
          <w:r>
            <w:rPr>
              <w:rFonts w:ascii="Times New Roman" w:hAnsi="Times New Roman" w:cs="Times New Roman"/>
              <w:sz w:val="28"/>
              <w:szCs w:val="28"/>
            </w:rPr>
            <w:t>142</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"_Toc117114408" </w:instrText>
          </w:r>
          <w:r>
            <w:fldChar w:fldCharType="separate"/>
          </w:r>
          <w:r>
            <w:rPr>
              <w:rStyle w:val="37"/>
              <w:rFonts w:ascii="Times New Roman" w:hAnsi="Times New Roman" w:cs="Times New Roman"/>
              <w:sz w:val="28"/>
              <w:szCs w:val="28"/>
            </w:rPr>
            <w:t>11.2 电力工程规划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_Toc117114408 \h </w:instrText>
          </w:r>
          <w:r>
            <w:rPr>
              <w:rFonts w:ascii="Times New Roman" w:hAnsi="Times New Roman" w:cs="Times New Roman"/>
              <w:sz w:val="28"/>
              <w:szCs w:val="28"/>
            </w:rPr>
            <w:fldChar w:fldCharType="separate"/>
          </w:r>
          <w:r>
            <w:rPr>
              <w:rFonts w:ascii="Times New Roman" w:hAnsi="Times New Roman" w:cs="Times New Roman"/>
              <w:sz w:val="28"/>
              <w:szCs w:val="28"/>
            </w:rPr>
            <w:t>144</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"_Toc117114409" </w:instrText>
          </w:r>
          <w:r>
            <w:fldChar w:fldCharType="separate"/>
          </w:r>
          <w:r>
            <w:rPr>
              <w:rStyle w:val="37"/>
              <w:rFonts w:ascii="Times New Roman" w:hAnsi="Times New Roman" w:cs="Times New Roman"/>
              <w:sz w:val="28"/>
              <w:szCs w:val="28"/>
            </w:rPr>
            <w:t>11.3 给排水工程规划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_Toc117114409 \h </w:instrText>
          </w:r>
          <w:r>
            <w:rPr>
              <w:rFonts w:ascii="Times New Roman" w:hAnsi="Times New Roman" w:cs="Times New Roman"/>
              <w:sz w:val="28"/>
              <w:szCs w:val="28"/>
            </w:rPr>
            <w:fldChar w:fldCharType="separate"/>
          </w:r>
          <w:r>
            <w:rPr>
              <w:rFonts w:ascii="Times New Roman" w:hAnsi="Times New Roman" w:cs="Times New Roman"/>
              <w:sz w:val="28"/>
              <w:szCs w:val="28"/>
            </w:rPr>
            <w:t>146</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"_Toc117114410" </w:instrText>
          </w:r>
          <w:r>
            <w:fldChar w:fldCharType="separate"/>
          </w:r>
          <w:r>
            <w:rPr>
              <w:rStyle w:val="37"/>
              <w:rFonts w:ascii="Times New Roman" w:hAnsi="Times New Roman" w:cs="Times New Roman"/>
              <w:sz w:val="28"/>
              <w:szCs w:val="28"/>
            </w:rPr>
            <w:t>11.4 通讯工程规划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_Toc117114410 \h </w:instrText>
          </w:r>
          <w:r>
            <w:rPr>
              <w:rFonts w:ascii="Times New Roman" w:hAnsi="Times New Roman" w:cs="Times New Roman"/>
              <w:sz w:val="28"/>
              <w:szCs w:val="28"/>
            </w:rPr>
            <w:fldChar w:fldCharType="separate"/>
          </w:r>
          <w:r>
            <w:rPr>
              <w:rFonts w:ascii="Times New Roman" w:hAnsi="Times New Roman" w:cs="Times New Roman"/>
              <w:sz w:val="28"/>
              <w:szCs w:val="28"/>
            </w:rPr>
            <w:t>148</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5"/>
            <w:tabs>
              <w:tab w:val="right" w:leader="dot" w:pos="8778"/>
            </w:tabs>
            <w:spacing w:before="0" w:after="0" w:line="600" w:lineRule="exact"/>
            <w:ind w:firstLine="0" w:firstLineChars="0"/>
            <w:rPr>
              <w:rFonts w:ascii="Times New Roman" w:hAnsi="Times New Roman" w:cs="Times New Roman"/>
              <w:b w:val="0"/>
              <w:bCs w:val="0"/>
              <w:caps w:val="0"/>
              <w:sz w:val="28"/>
              <w:szCs w:val="28"/>
            </w:rPr>
          </w:pPr>
          <w:r>
            <w:fldChar w:fldCharType="begin"/>
          </w:r>
          <w:r>
            <w:instrText xml:space="preserve"> HYPERLINK \l "_Toc117114411" </w:instrText>
          </w:r>
          <w:r>
            <w:fldChar w:fldCharType="separate"/>
          </w:r>
          <w:r>
            <w:rPr>
              <w:rStyle w:val="37"/>
              <w:rFonts w:ascii="Times New Roman" w:hAnsi="Times New Roman" w:cs="Times New Roman"/>
              <w:sz w:val="28"/>
              <w:szCs w:val="28"/>
            </w:rPr>
            <w:t>第12章 管理规划</w:t>
          </w:r>
          <w:r>
            <w:rPr>
              <w:rFonts w:ascii="Times New Roman" w:hAnsi="Times New Roman" w:cs="Times New Roman"/>
              <w:b w:val="0"/>
              <w:bCs w:val="0"/>
              <w:sz w:val="28"/>
              <w:szCs w:val="28"/>
            </w:rPr>
            <w:tab/>
          </w:r>
          <w:r>
            <w:rPr>
              <w:rFonts w:ascii="Times New Roman" w:hAnsi="Times New Roman" w:cs="Times New Roman"/>
              <w:b w:val="0"/>
              <w:bCs w:val="0"/>
              <w:sz w:val="28"/>
              <w:szCs w:val="28"/>
            </w:rPr>
            <w:fldChar w:fldCharType="begin"/>
          </w:r>
          <w:r>
            <w:rPr>
              <w:rFonts w:ascii="Times New Roman" w:hAnsi="Times New Roman" w:cs="Times New Roman"/>
              <w:b w:val="0"/>
              <w:bCs w:val="0"/>
              <w:sz w:val="28"/>
              <w:szCs w:val="28"/>
            </w:rPr>
            <w:instrText xml:space="preserve"> PAGEREF _Toc117114411 \h </w:instrText>
          </w:r>
          <w:r>
            <w:rPr>
              <w:rFonts w:ascii="Times New Roman" w:hAnsi="Times New Roman" w:cs="Times New Roman"/>
              <w:b w:val="0"/>
              <w:bCs w:val="0"/>
              <w:sz w:val="28"/>
              <w:szCs w:val="28"/>
            </w:rPr>
            <w:fldChar w:fldCharType="separate"/>
          </w:r>
          <w:r>
            <w:rPr>
              <w:rFonts w:ascii="Times New Roman" w:hAnsi="Times New Roman" w:cs="Times New Roman"/>
              <w:b w:val="0"/>
              <w:bCs w:val="0"/>
              <w:sz w:val="28"/>
              <w:szCs w:val="28"/>
            </w:rPr>
            <w:t>151</w:t>
          </w:r>
          <w:r>
            <w:rPr>
              <w:rFonts w:ascii="Times New Roman" w:hAnsi="Times New Roman" w:cs="Times New Roman"/>
              <w:b w:val="0"/>
              <w:bCs w:val="0"/>
              <w:sz w:val="28"/>
              <w:szCs w:val="28"/>
            </w:rPr>
            <w:fldChar w:fldCharType="end"/>
          </w:r>
          <w:r>
            <w:rPr>
              <w:rFonts w:ascii="Times New Roman" w:hAnsi="Times New Roman" w:cs="Times New Roman"/>
              <w:b w:val="0"/>
              <w:bCs w:val="0"/>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"_Toc117114412" </w:instrText>
          </w:r>
          <w:r>
            <w:fldChar w:fldCharType="separate"/>
          </w:r>
          <w:r>
            <w:rPr>
              <w:rStyle w:val="37"/>
              <w:rFonts w:ascii="Times New Roman" w:hAnsi="Times New Roman" w:cs="Times New Roman"/>
              <w:sz w:val="28"/>
              <w:szCs w:val="28"/>
            </w:rPr>
            <w:t>12.1 管理机构规划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_Toc117114412 \h </w:instrText>
          </w:r>
          <w:r>
            <w:rPr>
              <w:rFonts w:ascii="Times New Roman" w:hAnsi="Times New Roman" w:cs="Times New Roman"/>
              <w:sz w:val="28"/>
              <w:szCs w:val="28"/>
            </w:rPr>
            <w:fldChar w:fldCharType="separate"/>
          </w:r>
          <w:r>
            <w:rPr>
              <w:rFonts w:ascii="Times New Roman" w:hAnsi="Times New Roman" w:cs="Times New Roman"/>
              <w:sz w:val="28"/>
              <w:szCs w:val="28"/>
            </w:rPr>
            <w:t>151</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"_Toc117114413" </w:instrText>
          </w:r>
          <w:r>
            <w:fldChar w:fldCharType="separate"/>
          </w:r>
          <w:r>
            <w:rPr>
              <w:rStyle w:val="37"/>
              <w:rFonts w:ascii="Times New Roman" w:hAnsi="Times New Roman" w:cs="Times New Roman"/>
              <w:sz w:val="28"/>
              <w:szCs w:val="28"/>
            </w:rPr>
            <w:t>12.2 管理设施规划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_Toc117114413 \h </w:instrText>
          </w:r>
          <w:r>
            <w:rPr>
              <w:rFonts w:ascii="Times New Roman" w:hAnsi="Times New Roman" w:cs="Times New Roman"/>
              <w:sz w:val="28"/>
              <w:szCs w:val="28"/>
            </w:rPr>
            <w:fldChar w:fldCharType="separate"/>
          </w:r>
          <w:r>
            <w:rPr>
              <w:rFonts w:ascii="Times New Roman" w:hAnsi="Times New Roman" w:cs="Times New Roman"/>
              <w:sz w:val="28"/>
              <w:szCs w:val="28"/>
            </w:rPr>
            <w:t>154</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"_Toc117114414" </w:instrText>
          </w:r>
          <w:r>
            <w:fldChar w:fldCharType="separate"/>
          </w:r>
          <w:r>
            <w:rPr>
              <w:rStyle w:val="37"/>
              <w:rFonts w:ascii="Times New Roman" w:hAnsi="Times New Roman" w:cs="Times New Roman"/>
              <w:sz w:val="28"/>
              <w:szCs w:val="28"/>
            </w:rPr>
            <w:t>12.3 保护管理能力建设规划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_Toc117114414 \h </w:instrText>
          </w:r>
          <w:r>
            <w:rPr>
              <w:rFonts w:ascii="Times New Roman" w:hAnsi="Times New Roman" w:cs="Times New Roman"/>
              <w:sz w:val="28"/>
              <w:szCs w:val="28"/>
            </w:rPr>
            <w:fldChar w:fldCharType="separate"/>
          </w:r>
          <w:r>
            <w:rPr>
              <w:rFonts w:ascii="Times New Roman" w:hAnsi="Times New Roman" w:cs="Times New Roman"/>
              <w:sz w:val="28"/>
              <w:szCs w:val="28"/>
            </w:rPr>
            <w:t>157</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"_Toc117114415" </w:instrText>
          </w:r>
          <w:r>
            <w:fldChar w:fldCharType="separate"/>
          </w:r>
          <w:r>
            <w:rPr>
              <w:rStyle w:val="37"/>
              <w:rFonts w:ascii="Times New Roman" w:hAnsi="Times New Roman" w:cs="Times New Roman"/>
              <w:sz w:val="28"/>
              <w:szCs w:val="28"/>
            </w:rPr>
            <w:t>12.4 社区协调（共管共建）规划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_Toc117114415 \h </w:instrText>
          </w:r>
          <w:r>
            <w:rPr>
              <w:rFonts w:ascii="Times New Roman" w:hAnsi="Times New Roman" w:cs="Times New Roman"/>
              <w:sz w:val="28"/>
              <w:szCs w:val="28"/>
            </w:rPr>
            <w:fldChar w:fldCharType="separate"/>
          </w:r>
          <w:r>
            <w:rPr>
              <w:rFonts w:ascii="Times New Roman" w:hAnsi="Times New Roman" w:cs="Times New Roman"/>
              <w:sz w:val="28"/>
              <w:szCs w:val="28"/>
            </w:rPr>
            <w:t>158</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"_Toc117114416" </w:instrText>
          </w:r>
          <w:r>
            <w:fldChar w:fldCharType="separate"/>
          </w:r>
          <w:r>
            <w:rPr>
              <w:rStyle w:val="37"/>
              <w:rFonts w:ascii="Times New Roman" w:hAnsi="Times New Roman" w:cs="Times New Roman"/>
              <w:sz w:val="28"/>
              <w:szCs w:val="28"/>
            </w:rPr>
            <w:t>12.5 保障措施规划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_Toc117114416 \h </w:instrText>
          </w:r>
          <w:r>
            <w:rPr>
              <w:rFonts w:ascii="Times New Roman" w:hAnsi="Times New Roman" w:cs="Times New Roman"/>
              <w:sz w:val="28"/>
              <w:szCs w:val="28"/>
            </w:rPr>
            <w:fldChar w:fldCharType="separate"/>
          </w:r>
          <w:r>
            <w:rPr>
              <w:rFonts w:ascii="Times New Roman" w:hAnsi="Times New Roman" w:cs="Times New Roman"/>
              <w:sz w:val="28"/>
              <w:szCs w:val="28"/>
            </w:rPr>
            <w:t>162</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5"/>
            <w:tabs>
              <w:tab w:val="right" w:leader="dot" w:pos="8778"/>
            </w:tabs>
            <w:spacing w:before="0" w:after="0" w:line="600" w:lineRule="exact"/>
            <w:ind w:firstLine="0" w:firstLineChars="0"/>
            <w:rPr>
              <w:rFonts w:ascii="Times New Roman" w:hAnsi="Times New Roman" w:cs="Times New Roman"/>
              <w:b w:val="0"/>
              <w:bCs w:val="0"/>
              <w:caps w:val="0"/>
              <w:sz w:val="28"/>
              <w:szCs w:val="28"/>
            </w:rPr>
          </w:pPr>
          <w:r>
            <w:fldChar w:fldCharType="begin"/>
          </w:r>
          <w:r>
            <w:instrText xml:space="preserve"> HYPERLINK \l "_Toc117114417" </w:instrText>
          </w:r>
          <w:r>
            <w:fldChar w:fldCharType="separate"/>
          </w:r>
          <w:r>
            <w:rPr>
              <w:rStyle w:val="37"/>
              <w:rFonts w:ascii="Times New Roman" w:hAnsi="Times New Roman" w:cs="Times New Roman"/>
              <w:sz w:val="28"/>
              <w:szCs w:val="28"/>
            </w:rPr>
            <w:t>第13章 土地利用规划</w:t>
          </w:r>
          <w:r>
            <w:rPr>
              <w:rFonts w:ascii="Times New Roman" w:hAnsi="Times New Roman" w:cs="Times New Roman"/>
              <w:b w:val="0"/>
              <w:bCs w:val="0"/>
              <w:sz w:val="28"/>
              <w:szCs w:val="28"/>
            </w:rPr>
            <w:tab/>
          </w:r>
          <w:r>
            <w:rPr>
              <w:rFonts w:ascii="Times New Roman" w:hAnsi="Times New Roman" w:cs="Times New Roman"/>
              <w:b w:val="0"/>
              <w:bCs w:val="0"/>
              <w:sz w:val="28"/>
              <w:szCs w:val="28"/>
            </w:rPr>
            <w:fldChar w:fldCharType="begin"/>
          </w:r>
          <w:r>
            <w:rPr>
              <w:rFonts w:ascii="Times New Roman" w:hAnsi="Times New Roman" w:cs="Times New Roman"/>
              <w:b w:val="0"/>
              <w:bCs w:val="0"/>
              <w:sz w:val="28"/>
              <w:szCs w:val="28"/>
            </w:rPr>
            <w:instrText xml:space="preserve"> PAGEREF _Toc117114417 \h </w:instrText>
          </w:r>
          <w:r>
            <w:rPr>
              <w:rFonts w:ascii="Times New Roman" w:hAnsi="Times New Roman" w:cs="Times New Roman"/>
              <w:b w:val="0"/>
              <w:bCs w:val="0"/>
              <w:sz w:val="28"/>
              <w:szCs w:val="28"/>
            </w:rPr>
            <w:fldChar w:fldCharType="separate"/>
          </w:r>
          <w:r>
            <w:rPr>
              <w:rFonts w:ascii="Times New Roman" w:hAnsi="Times New Roman" w:cs="Times New Roman"/>
              <w:b w:val="0"/>
              <w:bCs w:val="0"/>
              <w:sz w:val="28"/>
              <w:szCs w:val="28"/>
            </w:rPr>
            <w:t>169</w:t>
          </w:r>
          <w:r>
            <w:rPr>
              <w:rFonts w:ascii="Times New Roman" w:hAnsi="Times New Roman" w:cs="Times New Roman"/>
              <w:b w:val="0"/>
              <w:bCs w:val="0"/>
              <w:sz w:val="28"/>
              <w:szCs w:val="28"/>
            </w:rPr>
            <w:fldChar w:fldCharType="end"/>
          </w:r>
          <w:r>
            <w:rPr>
              <w:rFonts w:ascii="Times New Roman" w:hAnsi="Times New Roman" w:cs="Times New Roman"/>
              <w:b w:val="0"/>
              <w:bCs w:val="0"/>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"_Toc117114418" </w:instrText>
          </w:r>
          <w:r>
            <w:fldChar w:fldCharType="separate"/>
          </w:r>
          <w:r>
            <w:rPr>
              <w:rStyle w:val="37"/>
              <w:rFonts w:ascii="Times New Roman" w:hAnsi="Times New Roman" w:cs="Times New Roman"/>
              <w:sz w:val="28"/>
              <w:szCs w:val="28"/>
            </w:rPr>
            <w:t>13.1 土地利用现状</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_Toc117114418 \h </w:instrText>
          </w:r>
          <w:r>
            <w:rPr>
              <w:rFonts w:ascii="Times New Roman" w:hAnsi="Times New Roman" w:cs="Times New Roman"/>
              <w:sz w:val="28"/>
              <w:szCs w:val="28"/>
            </w:rPr>
            <w:fldChar w:fldCharType="separate"/>
          </w:r>
          <w:r>
            <w:rPr>
              <w:rFonts w:ascii="Times New Roman" w:hAnsi="Times New Roman" w:cs="Times New Roman"/>
              <w:sz w:val="28"/>
              <w:szCs w:val="28"/>
            </w:rPr>
            <w:t>169</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"_Toc117114419" </w:instrText>
          </w:r>
          <w:r>
            <w:fldChar w:fldCharType="separate"/>
          </w:r>
          <w:r>
            <w:rPr>
              <w:rStyle w:val="37"/>
              <w:rFonts w:ascii="Times New Roman" w:hAnsi="Times New Roman" w:cs="Times New Roman"/>
              <w:sz w:val="28"/>
              <w:szCs w:val="28"/>
            </w:rPr>
            <w:t>13.2 居民点调控规划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_Toc117114419 \h </w:instrText>
          </w:r>
          <w:r>
            <w:rPr>
              <w:rFonts w:ascii="Times New Roman" w:hAnsi="Times New Roman" w:cs="Times New Roman"/>
              <w:sz w:val="28"/>
              <w:szCs w:val="28"/>
            </w:rPr>
            <w:fldChar w:fldCharType="separate"/>
          </w:r>
          <w:r>
            <w:rPr>
              <w:rFonts w:ascii="Times New Roman" w:hAnsi="Times New Roman" w:cs="Times New Roman"/>
              <w:sz w:val="28"/>
              <w:szCs w:val="28"/>
            </w:rPr>
            <w:t>171</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"_Toc117114420" </w:instrText>
          </w:r>
          <w:r>
            <w:fldChar w:fldCharType="separate"/>
          </w:r>
          <w:r>
            <w:rPr>
              <w:rStyle w:val="37"/>
              <w:rFonts w:ascii="Times New Roman" w:hAnsi="Times New Roman" w:cs="Times New Roman"/>
              <w:sz w:val="28"/>
              <w:szCs w:val="28"/>
            </w:rPr>
            <w:t>13.3 土地利用规划</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_Toc117114420 \h </w:instrText>
          </w:r>
          <w:r>
            <w:rPr>
              <w:rFonts w:ascii="Times New Roman" w:hAnsi="Times New Roman" w:cs="Times New Roman"/>
              <w:sz w:val="28"/>
              <w:szCs w:val="28"/>
            </w:rPr>
            <w:fldChar w:fldCharType="separate"/>
          </w:r>
          <w:r>
            <w:rPr>
              <w:rFonts w:ascii="Times New Roman" w:hAnsi="Times New Roman" w:cs="Times New Roman"/>
              <w:sz w:val="28"/>
              <w:szCs w:val="28"/>
            </w:rPr>
            <w:t>172</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5"/>
            <w:tabs>
              <w:tab w:val="right" w:leader="dot" w:pos="8778"/>
            </w:tabs>
            <w:spacing w:before="0" w:after="0" w:line="600" w:lineRule="exact"/>
            <w:ind w:firstLine="0" w:firstLineChars="0"/>
            <w:rPr>
              <w:rFonts w:ascii="Times New Roman" w:hAnsi="Times New Roman" w:cs="Times New Roman"/>
              <w:b w:val="0"/>
              <w:bCs w:val="0"/>
              <w:caps w:val="0"/>
              <w:sz w:val="28"/>
              <w:szCs w:val="28"/>
            </w:rPr>
          </w:pPr>
          <w:r>
            <w:fldChar w:fldCharType="begin"/>
          </w:r>
          <w:r>
            <w:instrText xml:space="preserve"> HYPERLINK \l "_Toc117114421" </w:instrText>
          </w:r>
          <w:r>
            <w:fldChar w:fldCharType="separate"/>
          </w:r>
          <w:r>
            <w:rPr>
              <w:rStyle w:val="37"/>
              <w:rFonts w:ascii="Times New Roman" w:hAnsi="Times New Roman" w:cs="Times New Roman"/>
              <w:sz w:val="28"/>
              <w:szCs w:val="28"/>
            </w:rPr>
            <w:t>第14章 投资估算与效益评价</w:t>
          </w:r>
          <w:r>
            <w:rPr>
              <w:rFonts w:ascii="Times New Roman" w:hAnsi="Times New Roman" w:cs="Times New Roman"/>
              <w:b w:val="0"/>
              <w:bCs w:val="0"/>
              <w:sz w:val="28"/>
              <w:szCs w:val="28"/>
            </w:rPr>
            <w:tab/>
          </w:r>
          <w:r>
            <w:rPr>
              <w:rFonts w:ascii="Times New Roman" w:hAnsi="Times New Roman" w:cs="Times New Roman"/>
              <w:b w:val="0"/>
              <w:bCs w:val="0"/>
              <w:sz w:val="28"/>
              <w:szCs w:val="28"/>
            </w:rPr>
            <w:fldChar w:fldCharType="begin"/>
          </w:r>
          <w:r>
            <w:rPr>
              <w:rFonts w:ascii="Times New Roman" w:hAnsi="Times New Roman" w:cs="Times New Roman"/>
              <w:b w:val="0"/>
              <w:bCs w:val="0"/>
              <w:sz w:val="28"/>
              <w:szCs w:val="28"/>
            </w:rPr>
            <w:instrText xml:space="preserve"> PAGEREF _Toc117114421 \h </w:instrText>
          </w:r>
          <w:r>
            <w:rPr>
              <w:rFonts w:ascii="Times New Roman" w:hAnsi="Times New Roman" w:cs="Times New Roman"/>
              <w:b w:val="0"/>
              <w:bCs w:val="0"/>
              <w:sz w:val="28"/>
              <w:szCs w:val="28"/>
            </w:rPr>
            <w:fldChar w:fldCharType="separate"/>
          </w:r>
          <w:r>
            <w:rPr>
              <w:rFonts w:ascii="Times New Roman" w:hAnsi="Times New Roman" w:cs="Times New Roman"/>
              <w:b w:val="0"/>
              <w:bCs w:val="0"/>
              <w:sz w:val="28"/>
              <w:szCs w:val="28"/>
            </w:rPr>
            <w:t>175</w:t>
          </w:r>
          <w:r>
            <w:rPr>
              <w:rFonts w:ascii="Times New Roman" w:hAnsi="Times New Roman" w:cs="Times New Roman"/>
              <w:b w:val="0"/>
              <w:bCs w:val="0"/>
              <w:sz w:val="28"/>
              <w:szCs w:val="28"/>
            </w:rPr>
            <w:fldChar w:fldCharType="end"/>
          </w:r>
          <w:r>
            <w:rPr>
              <w:rFonts w:ascii="Times New Roman" w:hAnsi="Times New Roman" w:cs="Times New Roman"/>
              <w:b w:val="0"/>
              <w:bCs w:val="0"/>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"_Toc117114422" </w:instrText>
          </w:r>
          <w:r>
            <w:fldChar w:fldCharType="separate"/>
          </w:r>
          <w:r>
            <w:rPr>
              <w:rStyle w:val="37"/>
              <w:rFonts w:ascii="Times New Roman" w:hAnsi="Times New Roman" w:cs="Times New Roman"/>
              <w:sz w:val="28"/>
              <w:szCs w:val="28"/>
            </w:rPr>
            <w:t>14.1 估算依据</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_Toc117114422 \h </w:instrText>
          </w:r>
          <w:r>
            <w:rPr>
              <w:rFonts w:ascii="Times New Roman" w:hAnsi="Times New Roman" w:cs="Times New Roman"/>
              <w:sz w:val="28"/>
              <w:szCs w:val="28"/>
            </w:rPr>
            <w:fldChar w:fldCharType="separate"/>
          </w:r>
          <w:r>
            <w:rPr>
              <w:rFonts w:ascii="Times New Roman" w:hAnsi="Times New Roman" w:cs="Times New Roman"/>
              <w:sz w:val="28"/>
              <w:szCs w:val="28"/>
            </w:rPr>
            <w:t>175</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"_Toc117114423" </w:instrText>
          </w:r>
          <w:r>
            <w:fldChar w:fldCharType="separate"/>
          </w:r>
          <w:r>
            <w:rPr>
              <w:rStyle w:val="37"/>
              <w:rFonts w:ascii="Times New Roman" w:hAnsi="Times New Roman" w:cs="Times New Roman"/>
              <w:sz w:val="28"/>
              <w:szCs w:val="28"/>
            </w:rPr>
            <w:t>14.2 投资估算</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_Toc117114423 \h </w:instrText>
          </w:r>
          <w:r>
            <w:rPr>
              <w:rFonts w:ascii="Times New Roman" w:hAnsi="Times New Roman" w:cs="Times New Roman"/>
              <w:sz w:val="28"/>
              <w:szCs w:val="28"/>
            </w:rPr>
            <w:fldChar w:fldCharType="separate"/>
          </w:r>
          <w:r>
            <w:rPr>
              <w:rFonts w:ascii="Times New Roman" w:hAnsi="Times New Roman" w:cs="Times New Roman"/>
              <w:sz w:val="28"/>
              <w:szCs w:val="28"/>
            </w:rPr>
            <w:t>177</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"_Toc117114424" </w:instrText>
          </w:r>
          <w:r>
            <w:fldChar w:fldCharType="separate"/>
          </w:r>
          <w:r>
            <w:rPr>
              <w:rStyle w:val="37"/>
              <w:rFonts w:ascii="Times New Roman" w:hAnsi="Times New Roman" w:cs="Times New Roman"/>
              <w:sz w:val="28"/>
              <w:szCs w:val="28"/>
            </w:rPr>
            <w:t>14.3 效益评析</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_Toc117114424 \h </w:instrText>
          </w:r>
          <w:r>
            <w:rPr>
              <w:rFonts w:ascii="Times New Roman" w:hAnsi="Times New Roman" w:cs="Times New Roman"/>
              <w:sz w:val="28"/>
              <w:szCs w:val="28"/>
            </w:rPr>
            <w:fldChar w:fldCharType="separate"/>
          </w:r>
          <w:r>
            <w:rPr>
              <w:rFonts w:ascii="Times New Roman" w:hAnsi="Times New Roman" w:cs="Times New Roman"/>
              <w:sz w:val="28"/>
              <w:szCs w:val="28"/>
            </w:rPr>
            <w:t>179</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5"/>
            <w:tabs>
              <w:tab w:val="right" w:leader="dot" w:pos="8778"/>
            </w:tabs>
            <w:spacing w:before="0" w:after="0" w:line="600" w:lineRule="exact"/>
            <w:ind w:firstLine="0" w:firstLineChars="0"/>
            <w:rPr>
              <w:rFonts w:ascii="Times New Roman" w:hAnsi="Times New Roman" w:cs="Times New Roman"/>
              <w:b w:val="0"/>
              <w:bCs w:val="0"/>
              <w:caps w:val="0"/>
              <w:sz w:val="28"/>
              <w:szCs w:val="28"/>
            </w:rPr>
          </w:pPr>
          <w:r>
            <w:fldChar w:fldCharType="begin"/>
          </w:r>
          <w:r>
            <w:instrText xml:space="preserve"> HYPERLINK \l "_Toc117114425" </w:instrText>
          </w:r>
          <w:r>
            <w:fldChar w:fldCharType="separate"/>
          </w:r>
          <w:r>
            <w:rPr>
              <w:rStyle w:val="37"/>
              <w:rFonts w:ascii="Times New Roman" w:hAnsi="Times New Roman" w:cs="Times New Roman"/>
              <w:sz w:val="28"/>
              <w:szCs w:val="28"/>
            </w:rPr>
            <w:t>第15章 环境影响评价</w:t>
          </w:r>
          <w:r>
            <w:rPr>
              <w:rFonts w:ascii="Times New Roman" w:hAnsi="Times New Roman" w:cs="Times New Roman"/>
              <w:b w:val="0"/>
              <w:bCs w:val="0"/>
              <w:sz w:val="28"/>
              <w:szCs w:val="28"/>
            </w:rPr>
            <w:tab/>
          </w:r>
          <w:r>
            <w:rPr>
              <w:rFonts w:ascii="Times New Roman" w:hAnsi="Times New Roman" w:cs="Times New Roman"/>
              <w:b w:val="0"/>
              <w:bCs w:val="0"/>
              <w:sz w:val="28"/>
              <w:szCs w:val="28"/>
            </w:rPr>
            <w:fldChar w:fldCharType="begin"/>
          </w:r>
          <w:r>
            <w:rPr>
              <w:rFonts w:ascii="Times New Roman" w:hAnsi="Times New Roman" w:cs="Times New Roman"/>
              <w:b w:val="0"/>
              <w:bCs w:val="0"/>
              <w:sz w:val="28"/>
              <w:szCs w:val="28"/>
            </w:rPr>
            <w:instrText xml:space="preserve"> PAGEREF _Toc117114425 \h </w:instrText>
          </w:r>
          <w:r>
            <w:rPr>
              <w:rFonts w:ascii="Times New Roman" w:hAnsi="Times New Roman" w:cs="Times New Roman"/>
              <w:b w:val="0"/>
              <w:bCs w:val="0"/>
              <w:sz w:val="28"/>
              <w:szCs w:val="28"/>
            </w:rPr>
            <w:fldChar w:fldCharType="separate"/>
          </w:r>
          <w:r>
            <w:rPr>
              <w:rFonts w:ascii="Times New Roman" w:hAnsi="Times New Roman" w:cs="Times New Roman"/>
              <w:b w:val="0"/>
              <w:bCs w:val="0"/>
              <w:sz w:val="28"/>
              <w:szCs w:val="28"/>
            </w:rPr>
            <w:t>184</w:t>
          </w:r>
          <w:r>
            <w:rPr>
              <w:rFonts w:ascii="Times New Roman" w:hAnsi="Times New Roman" w:cs="Times New Roman"/>
              <w:b w:val="0"/>
              <w:bCs w:val="0"/>
              <w:sz w:val="28"/>
              <w:szCs w:val="28"/>
            </w:rPr>
            <w:fldChar w:fldCharType="end"/>
          </w:r>
          <w:r>
            <w:rPr>
              <w:rFonts w:ascii="Times New Roman" w:hAnsi="Times New Roman" w:cs="Times New Roman"/>
              <w:b w:val="0"/>
              <w:bCs w:val="0"/>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"_Toc117114426" </w:instrText>
          </w:r>
          <w:r>
            <w:fldChar w:fldCharType="separate"/>
          </w:r>
          <w:r>
            <w:rPr>
              <w:rStyle w:val="37"/>
              <w:rFonts w:ascii="Times New Roman" w:hAnsi="Times New Roman" w:cs="Times New Roman"/>
              <w:sz w:val="28"/>
              <w:szCs w:val="28"/>
            </w:rPr>
            <w:t>15.1 对自然环境的影响分析</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_Toc117114426 \h </w:instrText>
          </w:r>
          <w:r>
            <w:rPr>
              <w:rFonts w:ascii="Times New Roman" w:hAnsi="Times New Roman" w:cs="Times New Roman"/>
              <w:sz w:val="28"/>
              <w:szCs w:val="28"/>
            </w:rPr>
            <w:fldChar w:fldCharType="separate"/>
          </w:r>
          <w:r>
            <w:rPr>
              <w:rFonts w:ascii="Times New Roman" w:hAnsi="Times New Roman" w:cs="Times New Roman"/>
              <w:sz w:val="28"/>
              <w:szCs w:val="28"/>
            </w:rPr>
            <w:t>185</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"_Toc117114427" </w:instrText>
          </w:r>
          <w:r>
            <w:fldChar w:fldCharType="separate"/>
          </w:r>
          <w:r>
            <w:rPr>
              <w:rStyle w:val="37"/>
              <w:rFonts w:ascii="Times New Roman" w:hAnsi="Times New Roman" w:cs="Times New Roman"/>
              <w:sz w:val="28"/>
              <w:szCs w:val="28"/>
            </w:rPr>
            <w:t>15.2 建设期环境保护措施</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_Toc117114427 \h </w:instrText>
          </w:r>
          <w:r>
            <w:rPr>
              <w:rFonts w:ascii="Times New Roman" w:hAnsi="Times New Roman" w:cs="Times New Roman"/>
              <w:sz w:val="28"/>
              <w:szCs w:val="28"/>
            </w:rPr>
            <w:fldChar w:fldCharType="separate"/>
          </w:r>
          <w:r>
            <w:rPr>
              <w:rFonts w:ascii="Times New Roman" w:hAnsi="Times New Roman" w:cs="Times New Roman"/>
              <w:sz w:val="28"/>
              <w:szCs w:val="28"/>
            </w:rPr>
            <w:t>188</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8"/>
              <w:szCs w:val="28"/>
            </w:rPr>
          </w:pPr>
          <w:r>
            <w:fldChar w:fldCharType="begin"/>
          </w:r>
          <w:r>
            <w:instrText xml:space="preserve"> HYPERLINK \l "_Toc117114428" </w:instrText>
          </w:r>
          <w:r>
            <w:fldChar w:fldCharType="separate"/>
          </w:r>
          <w:r>
            <w:rPr>
              <w:rStyle w:val="37"/>
              <w:rFonts w:ascii="Times New Roman" w:hAnsi="Times New Roman" w:cs="Times New Roman"/>
              <w:sz w:val="28"/>
              <w:szCs w:val="28"/>
            </w:rPr>
            <w:t>15.3 运营期环境保护措施</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_Toc117114428 \h </w:instrText>
          </w:r>
          <w:r>
            <w:rPr>
              <w:rFonts w:ascii="Times New Roman" w:hAnsi="Times New Roman" w:cs="Times New Roman"/>
              <w:sz w:val="28"/>
              <w:szCs w:val="28"/>
            </w:rPr>
            <w:fldChar w:fldCharType="separate"/>
          </w:r>
          <w:r>
            <w:rPr>
              <w:rFonts w:ascii="Times New Roman" w:hAnsi="Times New Roman" w:cs="Times New Roman"/>
              <w:sz w:val="28"/>
              <w:szCs w:val="28"/>
            </w:rPr>
            <w:t>191</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pStyle w:val="28"/>
            <w:tabs>
              <w:tab w:val="right" w:leader="dot" w:pos="8778"/>
            </w:tabs>
            <w:spacing w:line="600" w:lineRule="exact"/>
            <w:ind w:left="0" w:firstLine="400"/>
            <w:rPr>
              <w:rFonts w:ascii="Times New Roman" w:hAnsi="Times New Roman" w:cs="Times New Roman"/>
              <w:smallCaps w:val="0"/>
              <w:sz w:val="24"/>
              <w:szCs w:val="24"/>
            </w:rPr>
          </w:pPr>
          <w:r>
            <w:fldChar w:fldCharType="begin"/>
          </w:r>
          <w:r>
            <w:instrText xml:space="preserve"> HYPERLINK \l "_Toc117114429" </w:instrText>
          </w:r>
          <w:r>
            <w:fldChar w:fldCharType="separate"/>
          </w:r>
          <w:r>
            <w:rPr>
              <w:rStyle w:val="37"/>
              <w:rFonts w:ascii="Times New Roman" w:hAnsi="Times New Roman" w:cs="Times New Roman"/>
              <w:bCs/>
              <w:sz w:val="28"/>
              <w:szCs w:val="28"/>
            </w:rPr>
            <w:t>15.4 环境影响评价结论</w:t>
          </w:r>
          <w:r>
            <w:rPr>
              <w:rFonts w:ascii="Times New Roman" w:hAnsi="Times New Roman" w:cs="Times New Roman"/>
              <w:sz w:val="28"/>
              <w:szCs w:val="28"/>
            </w:rPr>
            <w:tab/>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PAGEREF _Toc117114429 \h </w:instrText>
          </w:r>
          <w:r>
            <w:rPr>
              <w:rFonts w:ascii="Times New Roman" w:hAnsi="Times New Roman" w:cs="Times New Roman"/>
              <w:sz w:val="28"/>
              <w:szCs w:val="28"/>
            </w:rPr>
            <w:fldChar w:fldCharType="separate"/>
          </w:r>
          <w:r>
            <w:rPr>
              <w:rFonts w:ascii="Times New Roman" w:hAnsi="Times New Roman" w:cs="Times New Roman"/>
              <w:sz w:val="28"/>
              <w:szCs w:val="28"/>
            </w:rPr>
            <w:t>192</w:t>
          </w:r>
          <w:r>
            <w:rPr>
              <w:rFonts w:ascii="Times New Roman" w:hAnsi="Times New Roman" w:cs="Times New Roman"/>
              <w:sz w:val="28"/>
              <w:szCs w:val="28"/>
            </w:rPr>
            <w:fldChar w:fldCharType="end"/>
          </w:r>
          <w:r>
            <w:rPr>
              <w:rFonts w:ascii="Times New Roman" w:hAnsi="Times New Roman" w:cs="Times New Roman"/>
              <w:sz w:val="28"/>
              <w:szCs w:val="28"/>
            </w:rPr>
            <w:fldChar w:fldCharType="end"/>
          </w:r>
        </w:p>
        <w:p>
          <w:pPr>
            <w:spacing w:line="240" w:lineRule="atLeast"/>
            <w:ind w:firstLine="0" w:firstLineChars="0"/>
            <w:rPr>
              <w:rFonts w:cs="Times New Roman"/>
              <w:sz w:val="10"/>
              <w:szCs w:val="10"/>
              <w:lang w:val="zh-CN"/>
            </w:rPr>
          </w:pPr>
          <w:r>
            <w:rPr>
              <w:rFonts w:cs="Times New Roman"/>
              <w:b/>
              <w:bCs/>
              <w:caps/>
              <w:sz w:val="24"/>
              <w:lang w:val="zh-CN"/>
            </w:rPr>
            <w:fldChar w:fldCharType="end"/>
          </w:r>
        </w:p>
      </w:sdtContent>
    </w:sdt>
    <w:p>
      <w:pPr>
        <w:spacing w:line="600" w:lineRule="exact"/>
        <w:ind w:firstLine="0" w:firstLineChars="0"/>
        <w:rPr>
          <w:rFonts w:cs="Times New Roman"/>
          <w:b/>
          <w:bCs/>
          <w:szCs w:val="28"/>
        </w:rPr>
      </w:pPr>
      <w:r>
        <w:rPr>
          <w:rFonts w:hint="eastAsia" w:cs="Times New Roman"/>
          <w:b/>
          <w:bCs/>
          <w:szCs w:val="28"/>
        </w:rPr>
        <w:t>附表</w:t>
      </w:r>
    </w:p>
    <w:p>
      <w:pPr>
        <w:spacing w:line="600" w:lineRule="exact"/>
        <w:ind w:firstLine="560"/>
        <w:rPr>
          <w:rFonts w:cs="Times New Roman"/>
          <w:szCs w:val="28"/>
        </w:rPr>
      </w:pPr>
      <w:r>
        <w:rPr>
          <w:rFonts w:hint="eastAsia" w:cs="Times New Roman"/>
          <w:szCs w:val="28"/>
        </w:rPr>
        <w:t>附表1：湖南石门仙阳湖国家湿地公园投资估算表</w:t>
      </w:r>
    </w:p>
    <w:p>
      <w:pPr>
        <w:pStyle w:val="16"/>
        <w:spacing w:after="0" w:line="600" w:lineRule="exact"/>
        <w:ind w:firstLine="560"/>
      </w:pPr>
      <w:r>
        <w:rPr>
          <w:rFonts w:hint="eastAsia" w:cs="Times New Roman"/>
          <w:szCs w:val="28"/>
        </w:rPr>
        <w:t>附表2：</w:t>
      </w:r>
      <w:r>
        <w:rPr>
          <w:rFonts w:hint="eastAsia"/>
        </w:rPr>
        <w:t>湖南石门仙阳湖国家湿地公园野生脊椎动物名录</w:t>
      </w:r>
    </w:p>
    <w:p>
      <w:pPr>
        <w:pStyle w:val="16"/>
        <w:spacing w:after="0" w:line="600" w:lineRule="exact"/>
        <w:ind w:firstLine="560"/>
      </w:pPr>
      <w:r>
        <w:rPr>
          <w:rFonts w:hint="eastAsia" w:cs="Times New Roman"/>
          <w:szCs w:val="28"/>
        </w:rPr>
        <w:t>附表3：</w:t>
      </w:r>
      <w:r>
        <w:rPr>
          <w:rFonts w:hint="eastAsia"/>
        </w:rPr>
        <w:t>湖南石门仙阳湖国家湿地公园维管束植物名录</w:t>
      </w:r>
    </w:p>
    <w:p>
      <w:pPr>
        <w:spacing w:line="600" w:lineRule="exact"/>
        <w:ind w:firstLine="0" w:firstLineChars="0"/>
        <w:rPr>
          <w:rFonts w:cs="Times New Roman"/>
          <w:b/>
          <w:bCs/>
          <w:szCs w:val="28"/>
        </w:rPr>
      </w:pPr>
      <w:r>
        <w:rPr>
          <w:rFonts w:hint="eastAsia" w:cs="Times New Roman"/>
          <w:b/>
          <w:bCs/>
          <w:szCs w:val="28"/>
        </w:rPr>
        <w:t>附图</w:t>
      </w:r>
    </w:p>
    <w:p>
      <w:pPr>
        <w:numPr>
          <w:ilvl w:val="0"/>
          <w:numId w:val="3"/>
        </w:numPr>
        <w:spacing w:line="600" w:lineRule="exact"/>
        <w:ind w:firstLine="560"/>
        <w:rPr>
          <w:rFonts w:cs="Times New Roman"/>
          <w:szCs w:val="28"/>
        </w:rPr>
      </w:pPr>
      <w:r>
        <w:rPr>
          <w:rFonts w:hint="eastAsia" w:cs="Times New Roman"/>
          <w:szCs w:val="28"/>
        </w:rPr>
        <w:t>湖南石门仙阳湖国家湿地公园区位分析图</w:t>
      </w:r>
    </w:p>
    <w:p>
      <w:pPr>
        <w:spacing w:line="600" w:lineRule="exact"/>
        <w:ind w:firstLine="560"/>
        <w:rPr>
          <w:rFonts w:cs="Times New Roman"/>
          <w:szCs w:val="28"/>
        </w:rPr>
      </w:pPr>
      <w:r>
        <w:rPr>
          <w:rFonts w:cs="Times New Roman"/>
          <w:szCs w:val="28"/>
        </w:rPr>
        <w:t>2</w:t>
      </w:r>
      <w:r>
        <w:rPr>
          <w:rFonts w:hint="eastAsia" w:cs="Times New Roman"/>
          <w:szCs w:val="28"/>
        </w:rPr>
        <w:t>. 湖南石门仙阳湖国家湿地公园范围图</w:t>
      </w:r>
    </w:p>
    <w:p>
      <w:pPr>
        <w:spacing w:line="600" w:lineRule="exact"/>
        <w:ind w:firstLine="560"/>
        <w:rPr>
          <w:rFonts w:cs="Times New Roman"/>
          <w:szCs w:val="28"/>
        </w:rPr>
      </w:pPr>
      <w:r>
        <w:rPr>
          <w:rFonts w:cs="Times New Roman"/>
          <w:szCs w:val="28"/>
        </w:rPr>
        <w:t>3</w:t>
      </w:r>
      <w:r>
        <w:rPr>
          <w:rFonts w:hint="eastAsia" w:cs="Times New Roman"/>
          <w:szCs w:val="28"/>
        </w:rPr>
        <w:t>. 湖南石门仙阳湖国家湿地公园遥感影像图</w:t>
      </w:r>
    </w:p>
    <w:p>
      <w:pPr>
        <w:spacing w:line="600" w:lineRule="exact"/>
        <w:ind w:firstLine="560"/>
        <w:rPr>
          <w:rFonts w:cs="Times New Roman"/>
          <w:szCs w:val="28"/>
        </w:rPr>
      </w:pPr>
      <w:r>
        <w:rPr>
          <w:rFonts w:cs="Times New Roman"/>
          <w:szCs w:val="28"/>
        </w:rPr>
        <w:t>4</w:t>
      </w:r>
      <w:r>
        <w:rPr>
          <w:rFonts w:hint="eastAsia" w:cs="Times New Roman"/>
          <w:szCs w:val="28"/>
        </w:rPr>
        <w:t>. 湖南石门仙阳湖国家湿地公园流域位置图</w:t>
      </w:r>
    </w:p>
    <w:p>
      <w:pPr>
        <w:spacing w:line="600" w:lineRule="exact"/>
        <w:ind w:firstLine="560"/>
        <w:rPr>
          <w:rFonts w:cs="Times New Roman"/>
          <w:szCs w:val="28"/>
        </w:rPr>
      </w:pPr>
      <w:r>
        <w:rPr>
          <w:rFonts w:cs="Times New Roman"/>
          <w:szCs w:val="28"/>
        </w:rPr>
        <w:t>5</w:t>
      </w:r>
      <w:r>
        <w:rPr>
          <w:rFonts w:hint="eastAsia" w:cs="Times New Roman"/>
          <w:szCs w:val="28"/>
        </w:rPr>
        <w:t>. 湖南石门仙阳湖国家湿地公园水系图</w:t>
      </w:r>
    </w:p>
    <w:p>
      <w:pPr>
        <w:spacing w:line="600" w:lineRule="exact"/>
        <w:ind w:firstLine="560"/>
        <w:rPr>
          <w:rFonts w:cs="Times New Roman"/>
          <w:szCs w:val="28"/>
        </w:rPr>
      </w:pPr>
      <w:r>
        <w:rPr>
          <w:rFonts w:cs="Times New Roman"/>
          <w:szCs w:val="28"/>
        </w:rPr>
        <w:t>6</w:t>
      </w:r>
      <w:r>
        <w:rPr>
          <w:rFonts w:hint="eastAsia" w:cs="Times New Roman"/>
          <w:szCs w:val="28"/>
        </w:rPr>
        <w:t>. 湖南石门仙阳湖国家湿地公园湿地现状分布图</w:t>
      </w:r>
    </w:p>
    <w:p>
      <w:pPr>
        <w:spacing w:line="600" w:lineRule="exact"/>
        <w:ind w:firstLine="560"/>
        <w:rPr>
          <w:rFonts w:cs="Times New Roman"/>
          <w:szCs w:val="28"/>
        </w:rPr>
      </w:pPr>
      <w:r>
        <w:rPr>
          <w:rFonts w:cs="Times New Roman"/>
          <w:szCs w:val="28"/>
        </w:rPr>
        <w:t>7</w:t>
      </w:r>
      <w:r>
        <w:rPr>
          <w:rFonts w:hint="eastAsia" w:cs="Times New Roman"/>
          <w:szCs w:val="28"/>
        </w:rPr>
        <w:t>. 湖南石门仙阳湖国家湿地公园土地利用现状图</w:t>
      </w:r>
    </w:p>
    <w:p>
      <w:pPr>
        <w:spacing w:line="600" w:lineRule="exact"/>
        <w:ind w:firstLine="560"/>
        <w:rPr>
          <w:rFonts w:cs="Times New Roman"/>
          <w:szCs w:val="28"/>
        </w:rPr>
      </w:pPr>
      <w:r>
        <w:rPr>
          <w:rFonts w:cs="Times New Roman"/>
          <w:szCs w:val="28"/>
        </w:rPr>
        <w:t>8</w:t>
      </w:r>
      <w:r>
        <w:rPr>
          <w:rFonts w:hint="eastAsia" w:cs="Times New Roman"/>
          <w:szCs w:val="28"/>
        </w:rPr>
        <w:t>. 湖南石门仙阳湖国家湿地公园功能分区图（本期规划）</w:t>
      </w:r>
    </w:p>
    <w:p>
      <w:pPr>
        <w:spacing w:line="600" w:lineRule="exact"/>
        <w:ind w:firstLine="560"/>
        <w:rPr>
          <w:rFonts w:cs="Times New Roman"/>
          <w:szCs w:val="28"/>
        </w:rPr>
      </w:pPr>
      <w:r>
        <w:rPr>
          <w:rFonts w:cs="Times New Roman"/>
          <w:szCs w:val="28"/>
        </w:rPr>
        <w:t>9</w:t>
      </w:r>
      <w:r>
        <w:rPr>
          <w:rFonts w:hint="eastAsia" w:cs="Times New Roman"/>
          <w:szCs w:val="28"/>
        </w:rPr>
        <w:t>. 湖南石门仙阳湖国家湿地公园功能分区图（上期规划）</w:t>
      </w:r>
    </w:p>
    <w:p>
      <w:pPr>
        <w:spacing w:line="600" w:lineRule="exact"/>
        <w:ind w:firstLine="560"/>
        <w:rPr>
          <w:rFonts w:cs="Times New Roman"/>
          <w:szCs w:val="28"/>
        </w:rPr>
      </w:pPr>
      <w:r>
        <w:rPr>
          <w:rFonts w:cs="Times New Roman"/>
          <w:szCs w:val="28"/>
        </w:rPr>
        <w:t>10</w:t>
      </w:r>
      <w:r>
        <w:rPr>
          <w:rFonts w:hint="eastAsia" w:cs="Times New Roman"/>
          <w:szCs w:val="28"/>
        </w:rPr>
        <w:t>. 湖南石门仙阳湖国家湿地公园保护（恢复）规划图</w:t>
      </w:r>
    </w:p>
    <w:p>
      <w:pPr>
        <w:spacing w:line="600" w:lineRule="exact"/>
        <w:ind w:firstLine="560"/>
        <w:rPr>
          <w:rFonts w:cs="Times New Roman"/>
          <w:szCs w:val="28"/>
        </w:rPr>
      </w:pPr>
      <w:r>
        <w:rPr>
          <w:rFonts w:cs="Times New Roman"/>
          <w:szCs w:val="28"/>
        </w:rPr>
        <w:t>11</w:t>
      </w:r>
      <w:r>
        <w:rPr>
          <w:rFonts w:hint="eastAsia" w:cs="Times New Roman"/>
          <w:szCs w:val="28"/>
        </w:rPr>
        <w:t>. 湖南石门仙阳湖国家湿地公园宣教与监测规划图</w:t>
      </w:r>
    </w:p>
    <w:p>
      <w:pPr>
        <w:spacing w:line="600" w:lineRule="exact"/>
        <w:ind w:firstLine="560"/>
        <w:rPr>
          <w:rFonts w:cs="Times New Roman"/>
          <w:szCs w:val="28"/>
        </w:rPr>
      </w:pPr>
      <w:r>
        <w:rPr>
          <w:rFonts w:cs="Times New Roman"/>
          <w:szCs w:val="28"/>
        </w:rPr>
        <w:t>12</w:t>
      </w:r>
      <w:r>
        <w:rPr>
          <w:rFonts w:hint="eastAsia" w:cs="Times New Roman"/>
          <w:szCs w:val="28"/>
        </w:rPr>
        <w:t>. 湖南石门仙阳湖国家湿地公园合理利用规划图</w:t>
      </w:r>
    </w:p>
    <w:p>
      <w:pPr>
        <w:spacing w:line="600" w:lineRule="exact"/>
        <w:ind w:firstLine="560"/>
        <w:rPr>
          <w:rFonts w:cs="Times New Roman"/>
          <w:szCs w:val="28"/>
        </w:rPr>
      </w:pPr>
      <w:r>
        <w:rPr>
          <w:rFonts w:cs="Times New Roman"/>
          <w:szCs w:val="28"/>
        </w:rPr>
        <w:t>13</w:t>
      </w:r>
      <w:r>
        <w:rPr>
          <w:rFonts w:hint="eastAsia" w:cs="Times New Roman"/>
          <w:szCs w:val="28"/>
        </w:rPr>
        <w:t>. 湖南石门仙阳湖国家湿地公园道路交通规划图</w:t>
      </w:r>
    </w:p>
    <w:p>
      <w:pPr>
        <w:spacing w:line="600" w:lineRule="exact"/>
        <w:ind w:firstLine="560"/>
        <w:rPr>
          <w:rFonts w:cs="Times New Roman"/>
          <w:szCs w:val="28"/>
        </w:rPr>
      </w:pPr>
      <w:r>
        <w:rPr>
          <w:rFonts w:cs="Times New Roman"/>
          <w:szCs w:val="28"/>
        </w:rPr>
        <w:t>14</w:t>
      </w:r>
      <w:r>
        <w:rPr>
          <w:rFonts w:hint="eastAsia" w:cs="Times New Roman"/>
          <w:szCs w:val="28"/>
        </w:rPr>
        <w:t>. 湖南石门仙阳湖国家湿地公园基础设施布局图</w:t>
      </w:r>
    </w:p>
    <w:p>
      <w:pPr>
        <w:spacing w:line="600" w:lineRule="exact"/>
        <w:ind w:firstLine="560"/>
        <w:rPr>
          <w:rFonts w:cs="Times New Roman"/>
          <w:szCs w:val="28"/>
        </w:rPr>
      </w:pPr>
      <w:r>
        <w:rPr>
          <w:rFonts w:cs="Times New Roman"/>
          <w:szCs w:val="28"/>
        </w:rPr>
        <w:t>15</w:t>
      </w:r>
      <w:r>
        <w:rPr>
          <w:rFonts w:hint="eastAsia" w:cs="Times New Roman"/>
          <w:szCs w:val="28"/>
        </w:rPr>
        <w:t>. 湖南石门仙阳湖国家湿地公园防御灾害规划图</w:t>
      </w:r>
    </w:p>
    <w:p>
      <w:pPr>
        <w:spacing w:line="600" w:lineRule="exact"/>
        <w:ind w:firstLine="560"/>
        <w:rPr>
          <w:rFonts w:cs="Times New Roman"/>
          <w:szCs w:val="28"/>
        </w:rPr>
      </w:pPr>
      <w:r>
        <w:rPr>
          <w:rFonts w:cs="Times New Roman"/>
          <w:szCs w:val="28"/>
        </w:rPr>
        <w:t>16</w:t>
      </w:r>
      <w:r>
        <w:rPr>
          <w:rFonts w:hint="eastAsia" w:cs="Times New Roman"/>
          <w:szCs w:val="28"/>
        </w:rPr>
        <w:t>. 湖南石门仙阳湖国家湿地公园总体布局图</w:t>
      </w:r>
    </w:p>
    <w:p>
      <w:pPr>
        <w:pStyle w:val="16"/>
        <w:spacing w:after="0" w:line="600" w:lineRule="exact"/>
        <w:ind w:firstLine="560"/>
      </w:pPr>
      <w:r>
        <w:rPr>
          <w:rFonts w:hint="eastAsia"/>
        </w:rPr>
        <w:t>1</w:t>
      </w:r>
      <w:r>
        <w:t>7</w:t>
      </w:r>
      <w:r>
        <w:rPr>
          <w:rFonts w:hint="eastAsia"/>
        </w:rPr>
        <w:t>. 湖南石门仙阳湖国家湿地公园范围调整前后对比图</w:t>
      </w:r>
    </w:p>
    <w:p>
      <w:pPr>
        <w:pStyle w:val="16"/>
        <w:spacing w:after="0" w:line="600" w:lineRule="exact"/>
        <w:ind w:firstLine="560"/>
      </w:pPr>
      <w:r>
        <w:rPr>
          <w:rFonts w:hint="eastAsia"/>
        </w:rPr>
        <w:t>1</w:t>
      </w:r>
      <w:r>
        <w:t>8</w:t>
      </w:r>
      <w:r>
        <w:rPr>
          <w:rFonts w:hint="eastAsia"/>
        </w:rPr>
        <w:t>. 湖南石门仙阳湖国家湿地公园土地利用规划图</w:t>
      </w:r>
    </w:p>
    <w:p>
      <w:pPr>
        <w:spacing w:line="600" w:lineRule="exact"/>
        <w:ind w:firstLine="0" w:firstLineChars="0"/>
        <w:rPr>
          <w:rFonts w:cs="Times New Roman"/>
          <w:b/>
          <w:bCs/>
          <w:szCs w:val="28"/>
        </w:rPr>
      </w:pPr>
      <w:r>
        <w:rPr>
          <w:rFonts w:hint="eastAsia" w:cs="Times New Roman"/>
          <w:b/>
          <w:bCs/>
          <w:szCs w:val="28"/>
        </w:rPr>
        <w:t>附件</w:t>
      </w:r>
    </w:p>
    <w:p>
      <w:pPr>
        <w:pStyle w:val="16"/>
        <w:numPr>
          <w:ilvl w:val="0"/>
          <w:numId w:val="4"/>
        </w:numPr>
        <w:spacing w:after="0" w:line="600" w:lineRule="exact"/>
        <w:ind w:firstLine="560"/>
      </w:pPr>
      <w:r>
        <w:rPr>
          <w:rFonts w:hint="eastAsia"/>
        </w:rPr>
        <w:t>《国家林业局关于同意北京房山长沟泉水等140处湿地开展国家湿地公园试点工作的通知》（林湿发〔2014〕205号）</w:t>
      </w:r>
    </w:p>
    <w:p>
      <w:pPr>
        <w:pStyle w:val="16"/>
        <w:numPr>
          <w:ilvl w:val="0"/>
          <w:numId w:val="4"/>
        </w:numPr>
        <w:spacing w:after="0" w:line="600" w:lineRule="exact"/>
        <w:ind w:firstLine="560"/>
      </w:pPr>
      <w:r>
        <w:rPr>
          <w:rFonts w:hint="eastAsia"/>
        </w:rPr>
        <w:t>《国家林业和草原局关于2020年国家湿地公园试点验收结果的通知》（林湿发〔2020〕119号）</w:t>
      </w:r>
    </w:p>
    <w:p>
      <w:pPr>
        <w:pStyle w:val="16"/>
        <w:ind w:firstLine="560" w:firstLineChars="0"/>
      </w:pPr>
    </w:p>
    <w:p>
      <w:pPr>
        <w:ind w:firstLine="0" w:firstLineChars="0"/>
        <w:rPr>
          <w:rFonts w:cs="Times New Roman"/>
          <w:szCs w:val="28"/>
        </w:rPr>
        <w:sectPr>
          <w:footerReference r:id="rId13" w:type="default"/>
          <w:pgSz w:w="11905" w:h="16838"/>
          <w:pgMar w:top="1417" w:right="1417" w:bottom="1417" w:left="1587" w:header="907" w:footer="680" w:gutter="0"/>
          <w:pgNumType w:fmt="lowerRoman" w:start="1"/>
          <w:cols w:space="0" w:num="1"/>
          <w:rtlGutter w:val="0"/>
          <w:docGrid w:type="lines" w:linePitch="395" w:charSpace="0"/>
        </w:sectPr>
      </w:pPr>
    </w:p>
    <w:p>
      <w:pPr>
        <w:pStyle w:val="4"/>
        <w:spacing w:after="395"/>
      </w:pPr>
      <w:bookmarkStart w:id="23" w:name="_Toc17598"/>
      <w:bookmarkStart w:id="24" w:name="_Toc114084625"/>
      <w:bookmarkStart w:id="25" w:name="_Toc113925680"/>
      <w:bookmarkStart w:id="26" w:name="_Toc113925428"/>
      <w:bookmarkStart w:id="27" w:name="_Toc117114352"/>
      <w:bookmarkStart w:id="28" w:name="_Toc3325"/>
      <w:r>
        <w:rPr>
          <w:rFonts w:hint="eastAsia"/>
        </w:rPr>
        <w:t>总论</w:t>
      </w:r>
      <w:bookmarkEnd w:id="23"/>
      <w:bookmarkEnd w:id="24"/>
      <w:bookmarkEnd w:id="25"/>
      <w:bookmarkEnd w:id="26"/>
      <w:bookmarkEnd w:id="27"/>
      <w:bookmarkEnd w:id="28"/>
    </w:p>
    <w:p>
      <w:pPr>
        <w:pStyle w:val="5"/>
        <w:spacing w:before="197"/>
      </w:pPr>
      <w:bookmarkStart w:id="29" w:name="_Toc113925429"/>
      <w:bookmarkStart w:id="30" w:name="_Toc117114353"/>
      <w:bookmarkStart w:id="31" w:name="_Toc7787"/>
      <w:bookmarkStart w:id="32" w:name="_Toc6837"/>
      <w:bookmarkStart w:id="33" w:name="_Toc113925681"/>
      <w:bookmarkStart w:id="34" w:name="_Toc114084626"/>
      <w:r>
        <w:rPr>
          <w:rFonts w:hint="eastAsia"/>
        </w:rPr>
        <w:t>项目提要</w:t>
      </w:r>
      <w:bookmarkEnd w:id="29"/>
      <w:bookmarkEnd w:id="30"/>
      <w:bookmarkEnd w:id="31"/>
      <w:bookmarkEnd w:id="32"/>
      <w:bookmarkEnd w:id="33"/>
      <w:bookmarkEnd w:id="34"/>
    </w:p>
    <w:p>
      <w:pPr>
        <w:pStyle w:val="6"/>
      </w:pPr>
      <w:bookmarkStart w:id="35" w:name="_Toc113925682"/>
      <w:bookmarkStart w:id="36" w:name="_Toc113925430"/>
      <w:r>
        <w:rPr>
          <w:rFonts w:hint="eastAsia"/>
        </w:rPr>
        <w:t>项目名称</w:t>
      </w:r>
      <w:bookmarkEnd w:id="35"/>
      <w:bookmarkEnd w:id="36"/>
    </w:p>
    <w:p>
      <w:pPr>
        <w:ind w:firstLine="560"/>
        <w:rPr>
          <w:rFonts w:cs="Times New Roman"/>
          <w:bCs/>
          <w:szCs w:val="28"/>
        </w:rPr>
      </w:pPr>
      <w:r>
        <w:rPr>
          <w:rFonts w:hint="eastAsia" w:cs="Times New Roman"/>
          <w:bCs/>
          <w:szCs w:val="28"/>
        </w:rPr>
        <w:t>湖南石门仙阳湖国家湿地公园总体规划（2023-2030年）</w:t>
      </w:r>
    </w:p>
    <w:p>
      <w:pPr>
        <w:pStyle w:val="6"/>
      </w:pPr>
      <w:bookmarkStart w:id="37" w:name="_Toc113925431"/>
      <w:bookmarkStart w:id="38" w:name="_Toc113925683"/>
      <w:r>
        <w:rPr>
          <w:rFonts w:hint="eastAsia"/>
        </w:rPr>
        <w:t>项目建设单位及法定代表</w:t>
      </w:r>
      <w:bookmarkEnd w:id="37"/>
      <w:bookmarkEnd w:id="38"/>
      <w:r>
        <w:rPr>
          <w:rFonts w:hint="eastAsia"/>
        </w:rPr>
        <w:t>人</w:t>
      </w:r>
    </w:p>
    <w:p>
      <w:pPr>
        <w:ind w:firstLine="560"/>
        <w:rPr>
          <w:rFonts w:cs="Times New Roman"/>
          <w:bCs/>
          <w:szCs w:val="28"/>
        </w:rPr>
      </w:pPr>
      <w:r>
        <w:rPr>
          <w:rFonts w:hint="eastAsia" w:cs="Times New Roman"/>
          <w:bCs/>
          <w:szCs w:val="28"/>
        </w:rPr>
        <w:t>建设单位：湖南石门仙阳湖国家湿地公园管理处</w:t>
      </w:r>
    </w:p>
    <w:p>
      <w:pPr>
        <w:ind w:firstLine="560"/>
        <w:rPr>
          <w:rFonts w:hint="default" w:eastAsia="仿宋" w:cs="Times New Roman"/>
          <w:bCs/>
          <w:szCs w:val="28"/>
          <w:lang w:val="en-US" w:eastAsia="zh-CN"/>
        </w:rPr>
      </w:pPr>
      <w:r>
        <w:rPr>
          <w:rFonts w:hint="eastAsia" w:cs="Times New Roman"/>
          <w:bCs/>
          <w:szCs w:val="28"/>
        </w:rPr>
        <w:t>法定代表人：</w:t>
      </w:r>
      <w:r>
        <w:rPr>
          <w:rFonts w:hint="eastAsia" w:cs="Times New Roman"/>
          <w:bCs/>
          <w:szCs w:val="28"/>
          <w:lang w:val="en-US" w:eastAsia="zh-CN"/>
        </w:rPr>
        <w:t>石震</w:t>
      </w:r>
    </w:p>
    <w:p>
      <w:pPr>
        <w:pStyle w:val="6"/>
      </w:pPr>
      <w:bookmarkStart w:id="39" w:name="_Toc113925684"/>
      <w:bookmarkStart w:id="40" w:name="_Toc113925432"/>
      <w:r>
        <w:rPr>
          <w:rFonts w:hint="eastAsia"/>
        </w:rPr>
        <w:t>项目主管单位</w:t>
      </w:r>
      <w:bookmarkEnd w:id="39"/>
      <w:bookmarkEnd w:id="40"/>
    </w:p>
    <w:p>
      <w:pPr>
        <w:ind w:firstLine="560"/>
        <w:rPr>
          <w:rFonts w:cs="Times New Roman"/>
          <w:bCs/>
          <w:szCs w:val="28"/>
        </w:rPr>
      </w:pPr>
      <w:r>
        <w:rPr>
          <w:rFonts w:hint="eastAsia" w:cs="Times New Roman"/>
          <w:bCs/>
          <w:szCs w:val="28"/>
        </w:rPr>
        <w:t>湖南省林业局</w:t>
      </w:r>
    </w:p>
    <w:p>
      <w:pPr>
        <w:pStyle w:val="6"/>
      </w:pPr>
      <w:bookmarkStart w:id="41" w:name="_Toc113925685"/>
      <w:bookmarkStart w:id="42" w:name="_Toc113925433"/>
      <w:r>
        <w:rPr>
          <w:rFonts w:hint="eastAsia"/>
        </w:rPr>
        <w:t>项目性质</w:t>
      </w:r>
      <w:bookmarkEnd w:id="41"/>
      <w:bookmarkEnd w:id="42"/>
    </w:p>
    <w:p>
      <w:pPr>
        <w:ind w:firstLine="560"/>
        <w:rPr>
          <w:rFonts w:cs="Times New Roman"/>
          <w:bCs/>
          <w:szCs w:val="28"/>
        </w:rPr>
      </w:pPr>
      <w:r>
        <w:rPr>
          <w:rFonts w:hint="eastAsia" w:cs="Times New Roman"/>
          <w:bCs/>
          <w:szCs w:val="28"/>
        </w:rPr>
        <w:t>续建，生态型社会公益性建设项目</w:t>
      </w:r>
    </w:p>
    <w:p>
      <w:pPr>
        <w:pStyle w:val="6"/>
      </w:pPr>
      <w:bookmarkStart w:id="43" w:name="_Toc113925434"/>
      <w:bookmarkStart w:id="44" w:name="_Toc113925686"/>
      <w:r>
        <w:rPr>
          <w:rFonts w:hint="eastAsia"/>
        </w:rPr>
        <w:t>地理位置</w:t>
      </w:r>
      <w:bookmarkEnd w:id="43"/>
      <w:bookmarkEnd w:id="44"/>
    </w:p>
    <w:p>
      <w:pPr>
        <w:ind w:firstLine="560"/>
        <w:rPr>
          <w:rFonts w:cs="Times New Roman"/>
          <w:bCs/>
          <w:szCs w:val="28"/>
        </w:rPr>
      </w:pPr>
      <w:r>
        <w:rPr>
          <w:rFonts w:hint="eastAsia" w:cs="Times New Roman"/>
          <w:bCs/>
          <w:szCs w:val="28"/>
        </w:rPr>
        <w:t>湖南石门仙阳湖国家湿地公园地处石门县中部，自西北向东南跨经所街乡、雁池乡、磨市镇、维新镇、三圣乡、白云镇、皂市镇和新铺镇，主要包括仙阳湖、渫水及周边一定范围内的水源涵养林，东至新铺镇毛桃湾回水区及其周边第一层小山脊，南至皂市水库大坝，西北至所街乡芙岭峪村回水区。</w:t>
      </w:r>
    </w:p>
    <w:p>
      <w:pPr>
        <w:pStyle w:val="6"/>
      </w:pPr>
      <w:bookmarkStart w:id="45" w:name="_Toc113925687"/>
      <w:bookmarkStart w:id="46" w:name="_Toc113925435"/>
      <w:r>
        <w:rPr>
          <w:rFonts w:hint="eastAsia"/>
        </w:rPr>
        <w:t>规划面积及分区情况</w:t>
      </w:r>
      <w:bookmarkEnd w:id="45"/>
      <w:bookmarkEnd w:id="46"/>
    </w:p>
    <w:p>
      <w:pPr>
        <w:ind w:firstLine="560"/>
        <w:rPr>
          <w:rFonts w:cs="Times New Roman"/>
          <w:bCs/>
          <w:szCs w:val="28"/>
        </w:rPr>
      </w:pPr>
      <w:r>
        <w:rPr>
          <w:rFonts w:hint="eastAsia" w:cs="Times New Roman"/>
          <w:bCs/>
          <w:szCs w:val="28"/>
        </w:rPr>
        <w:t>仙阳湖国家湿地公园规划总面积</w:t>
      </w:r>
      <w:r>
        <w:rPr>
          <w:rFonts w:cs="Times New Roman"/>
          <w:bCs/>
          <w:szCs w:val="28"/>
        </w:rPr>
        <w:t>9386.58</w:t>
      </w:r>
      <w:r>
        <w:rPr>
          <w:rFonts w:hint="eastAsia" w:cs="Times New Roman"/>
          <w:bCs/>
          <w:szCs w:val="28"/>
        </w:rPr>
        <w:t>公顷，其中湿地面积</w:t>
      </w:r>
      <w:r>
        <w:rPr>
          <w:rFonts w:cs="Times New Roman"/>
          <w:bCs/>
          <w:szCs w:val="28"/>
        </w:rPr>
        <w:t>4899.81</w:t>
      </w:r>
      <w:r>
        <w:rPr>
          <w:rFonts w:hint="eastAsia" w:cs="Times New Roman"/>
          <w:bCs/>
          <w:szCs w:val="28"/>
        </w:rPr>
        <w:t>公顷，湿地率</w:t>
      </w:r>
      <w:r>
        <w:rPr>
          <w:rFonts w:cs="Times New Roman"/>
          <w:bCs/>
          <w:szCs w:val="28"/>
        </w:rPr>
        <w:t>52.20</w:t>
      </w:r>
      <w:r>
        <w:rPr>
          <w:rFonts w:hint="eastAsia" w:cs="Times New Roman"/>
          <w:bCs/>
          <w:szCs w:val="28"/>
        </w:rPr>
        <w:t>%。</w:t>
      </w:r>
    </w:p>
    <w:p>
      <w:pPr>
        <w:pStyle w:val="6"/>
      </w:pPr>
      <w:bookmarkStart w:id="47" w:name="_Toc113925688"/>
      <w:bookmarkStart w:id="48" w:name="_Toc113925436"/>
      <w:r>
        <w:rPr>
          <w:rFonts w:hint="eastAsia"/>
        </w:rPr>
        <w:t>规划基准年及规划期限</w:t>
      </w:r>
      <w:bookmarkEnd w:id="47"/>
      <w:bookmarkEnd w:id="48"/>
    </w:p>
    <w:p>
      <w:pPr>
        <w:ind w:firstLine="560"/>
        <w:rPr>
          <w:rFonts w:cs="Times New Roman"/>
          <w:bCs/>
          <w:szCs w:val="28"/>
        </w:rPr>
      </w:pPr>
      <w:r>
        <w:rPr>
          <w:rFonts w:hint="eastAsia" w:cs="Times New Roman"/>
          <w:bCs/>
          <w:szCs w:val="28"/>
        </w:rPr>
        <w:t>（1）规划基准年</w:t>
      </w:r>
    </w:p>
    <w:p>
      <w:pPr>
        <w:ind w:firstLine="560"/>
        <w:rPr>
          <w:rFonts w:cs="Times New Roman"/>
          <w:bCs/>
          <w:szCs w:val="28"/>
        </w:rPr>
      </w:pPr>
      <w:r>
        <w:rPr>
          <w:rFonts w:hint="eastAsia" w:cs="Times New Roman"/>
          <w:bCs/>
          <w:szCs w:val="28"/>
        </w:rPr>
        <w:t>规划基准年为2</w:t>
      </w:r>
      <w:r>
        <w:rPr>
          <w:rFonts w:cs="Times New Roman"/>
          <w:bCs/>
          <w:szCs w:val="28"/>
        </w:rPr>
        <w:t>02</w:t>
      </w:r>
      <w:r>
        <w:rPr>
          <w:rFonts w:hint="eastAsia" w:cs="Times New Roman"/>
          <w:bCs/>
          <w:szCs w:val="28"/>
        </w:rPr>
        <w:t>2年。</w:t>
      </w:r>
    </w:p>
    <w:p>
      <w:pPr>
        <w:pStyle w:val="16"/>
        <w:ind w:firstLine="560"/>
      </w:pPr>
      <w:r>
        <w:rPr>
          <w:rFonts w:hint="eastAsia"/>
        </w:rPr>
        <w:t>（2）规划期限</w:t>
      </w:r>
    </w:p>
    <w:p>
      <w:pPr>
        <w:ind w:firstLine="560"/>
        <w:rPr>
          <w:rFonts w:cs="Times New Roman"/>
          <w:bCs/>
          <w:szCs w:val="28"/>
        </w:rPr>
      </w:pPr>
      <w:r>
        <w:rPr>
          <w:rFonts w:hint="eastAsia" w:cs="Times New Roman"/>
          <w:bCs/>
          <w:szCs w:val="28"/>
        </w:rPr>
        <w:t>仙阳湖国家湿地公园总体规划建设期为</w:t>
      </w:r>
      <w:r>
        <w:rPr>
          <w:rFonts w:cs="Times New Roman"/>
          <w:bCs/>
          <w:szCs w:val="28"/>
        </w:rPr>
        <w:t>202</w:t>
      </w:r>
      <w:r>
        <w:rPr>
          <w:rFonts w:hint="eastAsia" w:cs="Times New Roman"/>
          <w:bCs/>
          <w:szCs w:val="28"/>
        </w:rPr>
        <w:t>3</w:t>
      </w:r>
      <w:r>
        <w:rPr>
          <w:rFonts w:cs="Times New Roman"/>
          <w:bCs/>
          <w:szCs w:val="28"/>
        </w:rPr>
        <w:t>~2030</w:t>
      </w:r>
      <w:r>
        <w:rPr>
          <w:rFonts w:hint="eastAsia" w:cs="Times New Roman"/>
          <w:bCs/>
          <w:szCs w:val="28"/>
        </w:rPr>
        <w:t>年，共8年。</w:t>
      </w:r>
    </w:p>
    <w:p>
      <w:pPr>
        <w:ind w:firstLine="560"/>
        <w:rPr>
          <w:rFonts w:cs="Times New Roman"/>
          <w:bCs/>
          <w:szCs w:val="28"/>
        </w:rPr>
      </w:pPr>
      <w:r>
        <w:rPr>
          <w:rFonts w:hint="eastAsia" w:cs="Times New Roman"/>
          <w:bCs/>
          <w:szCs w:val="28"/>
        </w:rPr>
        <w:t>前期：2</w:t>
      </w:r>
      <w:r>
        <w:rPr>
          <w:rFonts w:cs="Times New Roman"/>
          <w:bCs/>
          <w:szCs w:val="28"/>
        </w:rPr>
        <w:t>023~2026</w:t>
      </w:r>
      <w:r>
        <w:rPr>
          <w:rFonts w:hint="eastAsia" w:cs="Times New Roman"/>
          <w:bCs/>
          <w:szCs w:val="28"/>
        </w:rPr>
        <w:t>年，</w:t>
      </w:r>
      <w:r>
        <w:rPr>
          <w:rFonts w:cs="Times New Roman"/>
          <w:bCs/>
          <w:szCs w:val="28"/>
        </w:rPr>
        <w:t>4</w:t>
      </w:r>
      <w:r>
        <w:rPr>
          <w:rFonts w:hint="eastAsia" w:cs="Times New Roman"/>
          <w:bCs/>
          <w:szCs w:val="28"/>
        </w:rPr>
        <w:t>年；</w:t>
      </w:r>
    </w:p>
    <w:p>
      <w:pPr>
        <w:ind w:firstLine="560"/>
        <w:rPr>
          <w:rFonts w:cs="Times New Roman"/>
          <w:bCs/>
          <w:szCs w:val="28"/>
        </w:rPr>
      </w:pPr>
      <w:r>
        <w:rPr>
          <w:rFonts w:hint="eastAsia" w:cs="Times New Roman"/>
          <w:bCs/>
          <w:szCs w:val="28"/>
        </w:rPr>
        <w:t>后期：2</w:t>
      </w:r>
      <w:r>
        <w:rPr>
          <w:rFonts w:cs="Times New Roman"/>
          <w:bCs/>
          <w:szCs w:val="28"/>
        </w:rPr>
        <w:t>027~2030</w:t>
      </w:r>
      <w:r>
        <w:rPr>
          <w:rFonts w:hint="eastAsia" w:cs="Times New Roman"/>
          <w:bCs/>
          <w:szCs w:val="28"/>
        </w:rPr>
        <w:t>年，</w:t>
      </w:r>
      <w:r>
        <w:rPr>
          <w:rFonts w:cs="Times New Roman"/>
          <w:bCs/>
          <w:szCs w:val="28"/>
        </w:rPr>
        <w:t>4</w:t>
      </w:r>
      <w:r>
        <w:rPr>
          <w:rFonts w:hint="eastAsia" w:cs="Times New Roman"/>
          <w:bCs/>
          <w:szCs w:val="28"/>
        </w:rPr>
        <w:t>年</w:t>
      </w:r>
    </w:p>
    <w:p>
      <w:pPr>
        <w:pStyle w:val="6"/>
      </w:pPr>
      <w:bookmarkStart w:id="49" w:name="_Toc113925438"/>
      <w:bookmarkStart w:id="50" w:name="_Toc113925690"/>
      <w:r>
        <w:rPr>
          <w:rFonts w:hint="eastAsia"/>
        </w:rPr>
        <w:t>项目效益</w:t>
      </w:r>
      <w:bookmarkEnd w:id="49"/>
      <w:bookmarkEnd w:id="50"/>
    </w:p>
    <w:p>
      <w:pPr>
        <w:ind w:firstLine="560"/>
        <w:rPr>
          <w:rFonts w:cs="Times New Roman"/>
          <w:bCs/>
          <w:szCs w:val="28"/>
        </w:rPr>
      </w:pPr>
      <w:r>
        <w:rPr>
          <w:rFonts w:hint="eastAsia" w:cs="Times New Roman"/>
          <w:bCs/>
          <w:szCs w:val="28"/>
        </w:rPr>
        <w:t>仙阳湖国家湿地公园总体规划属于生态型社会公益性项目，项目建设具有显著的生态和社会效益，经济效益良好。</w:t>
      </w:r>
    </w:p>
    <w:p>
      <w:pPr>
        <w:ind w:firstLine="560"/>
        <w:rPr>
          <w:rFonts w:cs="Times New Roman"/>
          <w:bCs/>
          <w:szCs w:val="28"/>
        </w:rPr>
      </w:pPr>
      <w:r>
        <w:rPr>
          <w:rFonts w:hint="eastAsia" w:cs="Times New Roman"/>
          <w:bCs/>
          <w:szCs w:val="28"/>
        </w:rPr>
        <w:t>（</w:t>
      </w:r>
      <w:r>
        <w:rPr>
          <w:rFonts w:cs="Times New Roman"/>
          <w:bCs/>
          <w:szCs w:val="28"/>
        </w:rPr>
        <w:t>1</w:t>
      </w:r>
      <w:r>
        <w:rPr>
          <w:rFonts w:hint="eastAsia" w:cs="Times New Roman"/>
          <w:bCs/>
          <w:szCs w:val="28"/>
        </w:rPr>
        <w:t>）生态效益</w:t>
      </w:r>
    </w:p>
    <w:p>
      <w:pPr>
        <w:ind w:firstLine="560"/>
        <w:rPr>
          <w:rFonts w:cs="Times New Roman"/>
          <w:bCs/>
          <w:szCs w:val="28"/>
        </w:rPr>
      </w:pPr>
      <w:r>
        <w:rPr>
          <w:rFonts w:hint="eastAsia" w:cs="Times New Roman"/>
          <w:bCs/>
          <w:szCs w:val="28"/>
        </w:rPr>
        <w:t>总体规划的实施，将极大提升仙阳湖国家湿地公园的生态效益。有效保护湿地公园的生态功能和生态系统完整性，打造良好的湿地-森林复合生态系统，保护和改善湿地生物栖息环境，保护和恢复生物多样性，充分发挥仙阳湖湿地在提供优质水源、净化污染物、控制侵蚀和保护土壤、调节气候、休闲娱乐和文化科研等功能，从质与量上提高湿地公园的生态系统服务价值，有利于保障区域生态安全和保障洞庭湖上游水源涵养区的生态安全。</w:t>
      </w:r>
    </w:p>
    <w:p>
      <w:pPr>
        <w:ind w:firstLine="560"/>
        <w:rPr>
          <w:rFonts w:cs="Times New Roman"/>
          <w:bCs/>
          <w:szCs w:val="28"/>
        </w:rPr>
      </w:pPr>
      <w:r>
        <w:rPr>
          <w:rFonts w:hint="eastAsia" w:cs="Times New Roman"/>
          <w:bCs/>
          <w:szCs w:val="28"/>
        </w:rPr>
        <w:t>（</w:t>
      </w:r>
      <w:r>
        <w:rPr>
          <w:rFonts w:cs="Times New Roman"/>
          <w:bCs/>
          <w:szCs w:val="28"/>
        </w:rPr>
        <w:t>2</w:t>
      </w:r>
      <w:r>
        <w:rPr>
          <w:rFonts w:hint="eastAsia" w:cs="Times New Roman"/>
          <w:bCs/>
          <w:szCs w:val="28"/>
        </w:rPr>
        <w:t>）社会效益</w:t>
      </w:r>
    </w:p>
    <w:p>
      <w:pPr>
        <w:ind w:firstLine="560"/>
        <w:rPr>
          <w:rFonts w:cs="Times New Roman"/>
          <w:bCs/>
          <w:szCs w:val="28"/>
        </w:rPr>
      </w:pPr>
      <w:r>
        <w:rPr>
          <w:rFonts w:hint="eastAsia" w:cs="Times New Roman"/>
          <w:bCs/>
          <w:szCs w:val="28"/>
        </w:rPr>
        <w:t>仙阳湖国家湿地公园的建设将有显著的社会效益，主要表现在以下方面：湿地公园的建设，是石门县委县政府贯彻落实习近平总书记生态文明思想，深入巩固实施“生态立县”战略成果的具体表现。对提高石门县的知名度，优化投资环境，社会经济持续、高速、稳定的发展发挥积极影响。对形成浓厚的湿地文化氛围，有效地满足人民群众日益增长的物质文化生活需要，提高社区群众生态环境保护与湿地保护意识，构建和谐社会和建设社会主义新农村具有重要的现实意义。此外，仙阳湖国家湿地公园有效地保障洞庭湖上游水源涵养区生态安全，将成为湖南省实施</w:t>
      </w:r>
      <w:r>
        <w:rPr>
          <w:rFonts w:hint="eastAsia" w:ascii="仿宋" w:hAnsi="仿宋" w:cs="仿宋"/>
          <w:bCs/>
          <w:szCs w:val="28"/>
        </w:rPr>
        <w:t>“山水林田湖草沙一体化保护和修复”重</w:t>
      </w:r>
      <w:r>
        <w:rPr>
          <w:rFonts w:hint="eastAsia" w:cs="Times New Roman"/>
          <w:bCs/>
          <w:szCs w:val="28"/>
        </w:rPr>
        <w:t>要的示范和宣传教育基地，为湿地保护和治理树立典范。</w:t>
      </w:r>
    </w:p>
    <w:p>
      <w:pPr>
        <w:ind w:firstLine="560"/>
        <w:rPr>
          <w:rFonts w:cs="Times New Roman"/>
          <w:bCs/>
          <w:szCs w:val="28"/>
        </w:rPr>
      </w:pPr>
      <w:r>
        <w:rPr>
          <w:rFonts w:hint="eastAsia" w:cs="Times New Roman"/>
          <w:bCs/>
          <w:szCs w:val="28"/>
        </w:rPr>
        <w:t>（</w:t>
      </w:r>
      <w:r>
        <w:rPr>
          <w:rFonts w:cs="Times New Roman"/>
          <w:bCs/>
          <w:szCs w:val="28"/>
        </w:rPr>
        <w:t>3</w:t>
      </w:r>
      <w:r>
        <w:rPr>
          <w:rFonts w:hint="eastAsia" w:cs="Times New Roman"/>
          <w:bCs/>
          <w:szCs w:val="28"/>
        </w:rPr>
        <w:t>）经济效益</w:t>
      </w:r>
    </w:p>
    <w:p>
      <w:pPr>
        <w:widowControl/>
        <w:ind w:firstLine="560"/>
        <w:jc w:val="left"/>
        <w:rPr>
          <w:rFonts w:cs="Times New Roman"/>
          <w:bCs/>
          <w:szCs w:val="28"/>
        </w:rPr>
      </w:pPr>
      <w:r>
        <w:rPr>
          <w:rFonts w:hint="eastAsia" w:cs="Times New Roman"/>
          <w:bCs/>
          <w:szCs w:val="28"/>
          <w:lang w:bidi="ar"/>
        </w:rPr>
        <w:t>在全面保护的前提下，通过对湿地资源的科学合理利用，尤其是对仙阳湖国家湿地公园景观的合理开发，将会增加旅游收入，经济效益可观。</w:t>
      </w:r>
    </w:p>
    <w:p>
      <w:pPr>
        <w:pStyle w:val="5"/>
        <w:spacing w:before="197"/>
      </w:pPr>
      <w:bookmarkStart w:id="51" w:name="_Toc113925691"/>
      <w:bookmarkStart w:id="52" w:name="_Toc10058"/>
      <w:bookmarkStart w:id="53" w:name="_Toc3459"/>
      <w:bookmarkStart w:id="54" w:name="_Toc117114354"/>
      <w:bookmarkStart w:id="55" w:name="_Toc114084627"/>
      <w:bookmarkStart w:id="56" w:name="_Toc113925439"/>
      <w:r>
        <w:rPr>
          <w:rFonts w:hint="eastAsia"/>
        </w:rPr>
        <w:t>主要技术经济指标</w:t>
      </w:r>
      <w:bookmarkEnd w:id="51"/>
      <w:bookmarkEnd w:id="52"/>
      <w:bookmarkEnd w:id="53"/>
      <w:bookmarkEnd w:id="54"/>
      <w:bookmarkEnd w:id="55"/>
      <w:bookmarkEnd w:id="56"/>
    </w:p>
    <w:p>
      <w:pPr>
        <w:widowControl/>
        <w:ind w:firstLine="560"/>
        <w:jc w:val="left"/>
        <w:rPr>
          <w:rFonts w:cs="Times New Roman"/>
          <w:lang w:bidi="ar"/>
        </w:rPr>
      </w:pPr>
      <w:r>
        <w:rPr>
          <w:rFonts w:hint="eastAsia" w:cs="Times New Roman"/>
          <w:lang w:bidi="ar"/>
        </w:rPr>
        <w:t>仙阳湖国家湿地公园的建设主要经济技术指标详见表1-1。</w:t>
      </w:r>
    </w:p>
    <w:p>
      <w:pPr>
        <w:pStyle w:val="14"/>
        <w:pageBreakBefore/>
        <w:spacing w:before="197" w:after="0" w:afterLines="0"/>
        <w:rPr>
          <w:rFonts w:ascii="黑体" w:hAnsi="黑体" w:cs="黑体"/>
          <w:sz w:val="24"/>
          <w:szCs w:val="24"/>
        </w:rPr>
      </w:pPr>
      <w:r>
        <w:rPr>
          <w:rFonts w:hint="eastAsia" w:ascii="黑体" w:hAnsi="黑体" w:cs="黑体"/>
          <w:sz w:val="24"/>
          <w:szCs w:val="24"/>
        </w:rPr>
        <w:t>主要技术经济指标一览表</w:t>
      </w:r>
    </w:p>
    <w:p>
      <w:pPr>
        <w:spacing w:line="240" w:lineRule="auto"/>
        <w:ind w:firstLine="0" w:firstLineChars="0"/>
        <w:rPr>
          <w:rFonts w:cs="Times New Roman"/>
          <w:sz w:val="21"/>
          <w:szCs w:val="21"/>
        </w:rPr>
      </w:pPr>
      <w:r>
        <w:rPr>
          <w:rFonts w:hint="eastAsia" w:ascii="黑体" w:hAnsi="黑体" w:eastAsia="黑体" w:cs="黑体"/>
          <w:sz w:val="21"/>
          <w:szCs w:val="21"/>
        </w:rPr>
        <w:t>表</w:t>
      </w:r>
      <w:r>
        <w:rPr>
          <w:rFonts w:cs="Times New Roman"/>
          <w:sz w:val="21"/>
          <w:szCs w:val="21"/>
        </w:rPr>
        <w:t>1-1</w:t>
      </w:r>
    </w:p>
    <w:tbl>
      <w:tblPr>
        <w:tblStyle w:val="33"/>
        <w:tblW w:w="0" w:type="auto"/>
        <w:tblInd w:w="1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4"/>
        <w:gridCol w:w="3406"/>
        <w:gridCol w:w="1134"/>
        <w:gridCol w:w="1342"/>
        <w:gridCol w:w="20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854" w:type="dxa"/>
            <w:vAlign w:val="center"/>
          </w:tcPr>
          <w:p>
            <w:pPr>
              <w:pStyle w:val="44"/>
              <w:rPr>
                <w:rFonts w:eastAsia="仿宋" w:cs="Times New Roman"/>
                <w:szCs w:val="21"/>
              </w:rPr>
            </w:pPr>
            <w:r>
              <w:rPr>
                <w:rFonts w:hint="eastAsia" w:eastAsia="仿宋" w:cs="Times New Roman"/>
                <w:szCs w:val="21"/>
              </w:rPr>
              <w:t>序号</w:t>
            </w:r>
          </w:p>
        </w:tc>
        <w:tc>
          <w:tcPr>
            <w:tcW w:w="3406" w:type="dxa"/>
            <w:vAlign w:val="center"/>
          </w:tcPr>
          <w:p>
            <w:pPr>
              <w:pStyle w:val="44"/>
              <w:rPr>
                <w:rFonts w:eastAsia="仿宋" w:cs="Times New Roman"/>
                <w:szCs w:val="21"/>
              </w:rPr>
            </w:pPr>
            <w:r>
              <w:rPr>
                <w:rFonts w:hint="eastAsia" w:eastAsia="仿宋" w:cs="Times New Roman"/>
                <w:szCs w:val="21"/>
              </w:rPr>
              <w:t>项目内容</w:t>
            </w:r>
          </w:p>
        </w:tc>
        <w:tc>
          <w:tcPr>
            <w:tcW w:w="1134" w:type="dxa"/>
            <w:vAlign w:val="center"/>
          </w:tcPr>
          <w:p>
            <w:pPr>
              <w:pStyle w:val="44"/>
              <w:rPr>
                <w:rFonts w:eastAsia="仿宋" w:cs="Times New Roman"/>
                <w:szCs w:val="21"/>
              </w:rPr>
            </w:pPr>
            <w:r>
              <w:rPr>
                <w:rFonts w:hint="eastAsia" w:eastAsia="仿宋" w:cs="Times New Roman"/>
                <w:szCs w:val="21"/>
              </w:rPr>
              <w:t>单位</w:t>
            </w:r>
          </w:p>
        </w:tc>
        <w:tc>
          <w:tcPr>
            <w:tcW w:w="1342" w:type="dxa"/>
            <w:vAlign w:val="center"/>
          </w:tcPr>
          <w:p>
            <w:pPr>
              <w:pStyle w:val="44"/>
              <w:rPr>
                <w:rFonts w:eastAsia="仿宋" w:cs="Times New Roman"/>
                <w:szCs w:val="21"/>
              </w:rPr>
            </w:pPr>
            <w:r>
              <w:rPr>
                <w:rFonts w:hint="eastAsia" w:eastAsia="仿宋" w:cs="Times New Roman"/>
                <w:szCs w:val="21"/>
              </w:rPr>
              <w:t>数量</w:t>
            </w:r>
          </w:p>
        </w:tc>
        <w:tc>
          <w:tcPr>
            <w:tcW w:w="2025" w:type="dxa"/>
            <w:vAlign w:val="center"/>
          </w:tcPr>
          <w:p>
            <w:pPr>
              <w:pStyle w:val="44"/>
              <w:rPr>
                <w:rFonts w:eastAsia="仿宋" w:cs="Times New Roman"/>
                <w:szCs w:val="21"/>
              </w:rPr>
            </w:pPr>
            <w:r>
              <w:rPr>
                <w:rFonts w:hint="eastAsia" w:eastAsia="仿宋" w:cs="Times New Roman"/>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spacing w:line="360" w:lineRule="exact"/>
              <w:rPr>
                <w:rFonts w:eastAsia="仿宋" w:cs="Times New Roman"/>
                <w:sz w:val="21"/>
                <w:szCs w:val="21"/>
              </w:rPr>
            </w:pPr>
            <w:r>
              <w:rPr>
                <w:rFonts w:hint="eastAsia" w:eastAsia="仿宋" w:cs="Times New Roman"/>
                <w:sz w:val="21"/>
                <w:szCs w:val="21"/>
              </w:rPr>
              <w:t>一</w:t>
            </w:r>
          </w:p>
        </w:tc>
        <w:tc>
          <w:tcPr>
            <w:tcW w:w="3406" w:type="dxa"/>
            <w:vAlign w:val="center"/>
          </w:tcPr>
          <w:p>
            <w:pPr>
              <w:pStyle w:val="45"/>
              <w:spacing w:line="360" w:lineRule="exact"/>
              <w:rPr>
                <w:rFonts w:eastAsia="仿宋" w:cs="Times New Roman"/>
                <w:sz w:val="21"/>
                <w:szCs w:val="21"/>
              </w:rPr>
            </w:pPr>
            <w:r>
              <w:rPr>
                <w:rFonts w:ascii="仿宋" w:hAnsi="仿宋" w:eastAsia="仿宋" w:cs="仿宋"/>
                <w:color w:val="000000"/>
                <w:kern w:val="0"/>
                <w:sz w:val="21"/>
                <w:szCs w:val="21"/>
                <w:lang w:bidi="ar"/>
              </w:rPr>
              <w:t>湿地公园总面积</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公顷</w:t>
            </w:r>
          </w:p>
        </w:tc>
        <w:tc>
          <w:tcPr>
            <w:tcW w:w="1342" w:type="dxa"/>
            <w:vAlign w:val="center"/>
          </w:tcPr>
          <w:p>
            <w:pPr>
              <w:pStyle w:val="45"/>
              <w:spacing w:line="360" w:lineRule="exact"/>
              <w:rPr>
                <w:rFonts w:eastAsia="仿宋" w:cs="Times New Roman"/>
                <w:sz w:val="21"/>
                <w:szCs w:val="21"/>
              </w:rPr>
            </w:pPr>
            <w:r>
              <w:rPr>
                <w:rStyle w:val="50"/>
                <w:rFonts w:hint="default" w:ascii="Times New Roman" w:hAnsi="Times New Roman" w:eastAsia="仿宋"/>
                <w:color w:val="auto"/>
                <w:sz w:val="21"/>
                <w:szCs w:val="21"/>
              </w:rPr>
              <w:t>9386.58</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5"/>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Style w:val="70"/>
                <w:rFonts w:hint="default" w:ascii="Times New Roman" w:hAnsi="Times New Roman" w:cs="Times New Roman"/>
                <w:color w:val="auto"/>
                <w:sz w:val="21"/>
                <w:szCs w:val="21"/>
              </w:rPr>
              <w:t>湿地</w:t>
            </w:r>
          </w:p>
        </w:tc>
        <w:tc>
          <w:tcPr>
            <w:tcW w:w="1134" w:type="dxa"/>
            <w:vAlign w:val="center"/>
          </w:tcPr>
          <w:p>
            <w:pPr>
              <w:pStyle w:val="45"/>
              <w:spacing w:line="360" w:lineRule="exact"/>
              <w:rPr>
                <w:rFonts w:eastAsia="仿宋" w:cs="Times New Roman"/>
                <w:sz w:val="21"/>
                <w:szCs w:val="21"/>
              </w:rPr>
            </w:pPr>
            <w:r>
              <w:rPr>
                <w:rStyle w:val="70"/>
                <w:rFonts w:hint="default" w:ascii="Times New Roman" w:hAnsi="Times New Roman" w:cs="Times New Roman"/>
                <w:color w:val="auto"/>
                <w:sz w:val="21"/>
                <w:szCs w:val="21"/>
              </w:rPr>
              <w:t>公顷</w:t>
            </w:r>
          </w:p>
        </w:tc>
        <w:tc>
          <w:tcPr>
            <w:tcW w:w="1342" w:type="dxa"/>
            <w:vAlign w:val="center"/>
          </w:tcPr>
          <w:p>
            <w:pPr>
              <w:pStyle w:val="45"/>
              <w:spacing w:line="360" w:lineRule="exact"/>
              <w:rPr>
                <w:rFonts w:eastAsia="仿宋" w:cs="Times New Roman"/>
                <w:sz w:val="21"/>
                <w:szCs w:val="21"/>
              </w:rPr>
            </w:pPr>
            <w:r>
              <w:rPr>
                <w:rStyle w:val="50"/>
                <w:rFonts w:hint="default" w:ascii="Times New Roman" w:hAnsi="Times New Roman" w:eastAsia="仿宋" w:cs="Times New Roman"/>
                <w:color w:val="auto"/>
                <w:sz w:val="21"/>
                <w:szCs w:val="21"/>
              </w:rPr>
              <w:t>4899.81</w:t>
            </w:r>
          </w:p>
        </w:tc>
        <w:tc>
          <w:tcPr>
            <w:tcW w:w="2025" w:type="dxa"/>
            <w:vAlign w:val="center"/>
          </w:tcPr>
          <w:p>
            <w:pPr>
              <w:pStyle w:val="45"/>
              <w:spacing w:line="360" w:lineRule="exact"/>
              <w:rPr>
                <w:rFonts w:eastAsia="仿宋" w:cs="Times New Roman"/>
                <w:sz w:val="21"/>
                <w:szCs w:val="21"/>
              </w:rPr>
            </w:pPr>
            <w:r>
              <w:rPr>
                <w:rStyle w:val="50"/>
                <w:rFonts w:hint="default" w:ascii="Times New Roman" w:hAnsi="Times New Roman" w:eastAsia="仿宋" w:cs="Times New Roman"/>
                <w:color w:val="auto"/>
                <w:sz w:val="21"/>
                <w:szCs w:val="21"/>
              </w:rPr>
              <w:t>52.20%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5"/>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Style w:val="70"/>
                <w:rFonts w:hint="default" w:ascii="Times New Roman" w:hAnsi="Times New Roman" w:cs="Times New Roman"/>
                <w:color w:val="auto"/>
                <w:sz w:val="21"/>
                <w:szCs w:val="21"/>
              </w:rPr>
              <w:t>陆地（林地及其它用地）</w:t>
            </w:r>
          </w:p>
        </w:tc>
        <w:tc>
          <w:tcPr>
            <w:tcW w:w="1134" w:type="dxa"/>
            <w:vAlign w:val="center"/>
          </w:tcPr>
          <w:p>
            <w:pPr>
              <w:pStyle w:val="45"/>
              <w:spacing w:line="360" w:lineRule="exact"/>
              <w:rPr>
                <w:rFonts w:eastAsia="仿宋" w:cs="Times New Roman"/>
                <w:sz w:val="21"/>
                <w:szCs w:val="21"/>
              </w:rPr>
            </w:pPr>
            <w:r>
              <w:rPr>
                <w:rStyle w:val="70"/>
                <w:rFonts w:hint="default" w:ascii="Times New Roman" w:hAnsi="Times New Roman" w:cs="Times New Roman"/>
                <w:color w:val="auto"/>
                <w:sz w:val="21"/>
                <w:szCs w:val="21"/>
              </w:rPr>
              <w:t>公顷</w:t>
            </w:r>
          </w:p>
        </w:tc>
        <w:tc>
          <w:tcPr>
            <w:tcW w:w="1342" w:type="dxa"/>
            <w:vAlign w:val="center"/>
          </w:tcPr>
          <w:p>
            <w:pPr>
              <w:pStyle w:val="45"/>
              <w:spacing w:line="360" w:lineRule="exact"/>
              <w:rPr>
                <w:rFonts w:eastAsia="仿宋" w:cs="Times New Roman"/>
                <w:sz w:val="21"/>
                <w:szCs w:val="21"/>
              </w:rPr>
            </w:pPr>
            <w:r>
              <w:rPr>
                <w:rStyle w:val="50"/>
                <w:rFonts w:hint="default" w:ascii="Times New Roman" w:hAnsi="Times New Roman" w:eastAsia="仿宋" w:cs="Times New Roman"/>
                <w:color w:val="auto"/>
                <w:sz w:val="21"/>
                <w:szCs w:val="21"/>
              </w:rPr>
              <w:t>4486.77</w:t>
            </w:r>
          </w:p>
        </w:tc>
        <w:tc>
          <w:tcPr>
            <w:tcW w:w="2025" w:type="dxa"/>
            <w:vAlign w:val="center"/>
          </w:tcPr>
          <w:p>
            <w:pPr>
              <w:pStyle w:val="45"/>
              <w:spacing w:line="360" w:lineRule="exact"/>
              <w:rPr>
                <w:rFonts w:eastAsia="仿宋" w:cs="Times New Roman"/>
                <w:sz w:val="21"/>
                <w:szCs w:val="21"/>
              </w:rPr>
            </w:pPr>
            <w:r>
              <w:rPr>
                <w:rStyle w:val="50"/>
                <w:rFonts w:hint="default" w:ascii="Times New Roman" w:hAnsi="Times New Roman" w:eastAsia="仿宋" w:cs="Times New Roman"/>
                <w:color w:val="auto"/>
                <w:sz w:val="21"/>
                <w:szCs w:val="21"/>
              </w:rPr>
              <w:t>47.80%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spacing w:line="360" w:lineRule="exact"/>
              <w:rPr>
                <w:rFonts w:eastAsia="仿宋" w:cs="Times New Roman"/>
                <w:sz w:val="21"/>
                <w:szCs w:val="21"/>
              </w:rPr>
            </w:pPr>
            <w:r>
              <w:rPr>
                <w:rStyle w:val="50"/>
                <w:rFonts w:hint="default" w:ascii="Times New Roman" w:hAnsi="Times New Roman" w:eastAsia="仿宋" w:cs="Times New Roman"/>
                <w:color w:val="auto"/>
                <w:sz w:val="21"/>
                <w:szCs w:val="21"/>
              </w:rPr>
              <w:t>二</w:t>
            </w:r>
          </w:p>
        </w:tc>
        <w:tc>
          <w:tcPr>
            <w:tcW w:w="3406" w:type="dxa"/>
            <w:vAlign w:val="center"/>
          </w:tcPr>
          <w:p>
            <w:pPr>
              <w:pStyle w:val="45"/>
              <w:spacing w:line="360" w:lineRule="exact"/>
              <w:rPr>
                <w:rFonts w:eastAsia="仿宋" w:cs="Times New Roman"/>
                <w:sz w:val="21"/>
                <w:szCs w:val="21"/>
              </w:rPr>
            </w:pPr>
            <w:r>
              <w:rPr>
                <w:rStyle w:val="50"/>
                <w:rFonts w:hint="default" w:ascii="Times New Roman" w:hAnsi="Times New Roman" w:eastAsia="仿宋" w:cs="Times New Roman"/>
                <w:color w:val="auto"/>
                <w:sz w:val="21"/>
                <w:szCs w:val="21"/>
              </w:rPr>
              <w:t>功能区划</w:t>
            </w:r>
          </w:p>
        </w:tc>
        <w:tc>
          <w:tcPr>
            <w:tcW w:w="1134" w:type="dxa"/>
            <w:vAlign w:val="center"/>
          </w:tcPr>
          <w:p>
            <w:pPr>
              <w:pStyle w:val="45"/>
              <w:spacing w:line="360" w:lineRule="exact"/>
              <w:rPr>
                <w:rFonts w:eastAsia="仿宋" w:cs="Times New Roman"/>
                <w:sz w:val="21"/>
                <w:szCs w:val="21"/>
              </w:rPr>
            </w:pPr>
          </w:p>
        </w:tc>
        <w:tc>
          <w:tcPr>
            <w:tcW w:w="1342" w:type="dxa"/>
            <w:vAlign w:val="center"/>
          </w:tcPr>
          <w:p>
            <w:pPr>
              <w:pStyle w:val="45"/>
              <w:spacing w:line="360" w:lineRule="exact"/>
              <w:rPr>
                <w:rFonts w:eastAsia="仿宋" w:cs="Times New Roman"/>
                <w:sz w:val="21"/>
                <w:szCs w:val="21"/>
              </w:rPr>
            </w:pP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854" w:type="dxa"/>
            <w:vAlign w:val="center"/>
          </w:tcPr>
          <w:p>
            <w:pPr>
              <w:pStyle w:val="45"/>
              <w:numPr>
                <w:ilvl w:val="0"/>
                <w:numId w:val="6"/>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highlight w:val="none"/>
              </w:rPr>
            </w:pPr>
            <w:r>
              <w:rPr>
                <w:rStyle w:val="70"/>
                <w:rFonts w:hint="eastAsia" w:eastAsia="仿宋" w:cs="Times New Roman"/>
                <w:color w:val="auto"/>
                <w:sz w:val="21"/>
                <w:szCs w:val="21"/>
                <w:highlight w:val="none"/>
                <w:lang w:eastAsia="zh-CN"/>
              </w:rPr>
              <w:t>生态</w:t>
            </w:r>
            <w:r>
              <w:rPr>
                <w:rStyle w:val="70"/>
                <w:rFonts w:hint="default" w:ascii="Times New Roman" w:hAnsi="Times New Roman" w:cs="Times New Roman"/>
                <w:color w:val="auto"/>
                <w:sz w:val="21"/>
                <w:szCs w:val="21"/>
                <w:highlight w:val="none"/>
              </w:rPr>
              <w:t>保育区</w:t>
            </w:r>
          </w:p>
        </w:tc>
        <w:tc>
          <w:tcPr>
            <w:tcW w:w="1134" w:type="dxa"/>
            <w:vAlign w:val="center"/>
          </w:tcPr>
          <w:p>
            <w:pPr>
              <w:pStyle w:val="45"/>
              <w:spacing w:line="360" w:lineRule="exact"/>
              <w:rPr>
                <w:rFonts w:eastAsia="仿宋" w:cs="Times New Roman"/>
                <w:sz w:val="21"/>
                <w:szCs w:val="21"/>
                <w:highlight w:val="none"/>
              </w:rPr>
            </w:pPr>
            <w:r>
              <w:rPr>
                <w:rStyle w:val="70"/>
                <w:rFonts w:hint="default" w:ascii="Times New Roman" w:hAnsi="Times New Roman" w:cs="Times New Roman"/>
                <w:color w:val="auto"/>
                <w:sz w:val="21"/>
                <w:szCs w:val="21"/>
                <w:highlight w:val="none"/>
              </w:rPr>
              <w:t>公顷</w:t>
            </w:r>
          </w:p>
        </w:tc>
        <w:tc>
          <w:tcPr>
            <w:tcW w:w="1342" w:type="dxa"/>
            <w:vAlign w:val="center"/>
          </w:tcPr>
          <w:p>
            <w:pPr>
              <w:pStyle w:val="45"/>
              <w:spacing w:line="360" w:lineRule="exact"/>
              <w:rPr>
                <w:rFonts w:eastAsia="仿宋" w:cs="Times New Roman"/>
                <w:sz w:val="21"/>
                <w:szCs w:val="21"/>
                <w:highlight w:val="none"/>
              </w:rPr>
            </w:pPr>
            <w:r>
              <w:rPr>
                <w:rFonts w:hint="eastAsia" w:ascii="Times New Roman" w:hAnsi="Times New Roman" w:cs="Times New Roman"/>
                <w:color w:val="000000"/>
                <w:kern w:val="0"/>
                <w:sz w:val="21"/>
                <w:szCs w:val="21"/>
                <w:highlight w:val="none"/>
                <w:lang w:bidi="ar"/>
              </w:rPr>
              <w:t>6970.56</w:t>
            </w:r>
          </w:p>
        </w:tc>
        <w:tc>
          <w:tcPr>
            <w:tcW w:w="2025" w:type="dxa"/>
            <w:vAlign w:val="center"/>
          </w:tcPr>
          <w:p>
            <w:pPr>
              <w:pStyle w:val="45"/>
              <w:spacing w:line="360" w:lineRule="exact"/>
              <w:rPr>
                <w:rFonts w:eastAsia="仿宋" w:cs="Times New Roman"/>
                <w:sz w:val="21"/>
                <w:szCs w:val="21"/>
                <w:highlight w:val="none"/>
              </w:rPr>
            </w:pPr>
            <w:r>
              <w:rPr>
                <w:rFonts w:hint="eastAsia" w:eastAsia="仿宋" w:cs="Times New Roman"/>
                <w:sz w:val="21"/>
                <w:szCs w:val="21"/>
                <w:highlight w:val="none"/>
              </w:rPr>
              <w:t>74.26%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6"/>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highlight w:val="none"/>
              </w:rPr>
            </w:pPr>
            <w:r>
              <w:rPr>
                <w:rStyle w:val="70"/>
                <w:rFonts w:hint="default" w:ascii="Times New Roman" w:hAnsi="Times New Roman" w:cs="Times New Roman"/>
                <w:color w:val="auto"/>
                <w:sz w:val="21"/>
                <w:szCs w:val="21"/>
                <w:highlight w:val="none"/>
              </w:rPr>
              <w:t>合理利用区</w:t>
            </w:r>
          </w:p>
        </w:tc>
        <w:tc>
          <w:tcPr>
            <w:tcW w:w="1134" w:type="dxa"/>
            <w:vAlign w:val="center"/>
          </w:tcPr>
          <w:p>
            <w:pPr>
              <w:pStyle w:val="45"/>
              <w:spacing w:line="360" w:lineRule="exact"/>
              <w:rPr>
                <w:rFonts w:eastAsia="仿宋" w:cs="Times New Roman"/>
                <w:sz w:val="21"/>
                <w:szCs w:val="21"/>
                <w:highlight w:val="none"/>
              </w:rPr>
            </w:pPr>
            <w:r>
              <w:rPr>
                <w:rStyle w:val="70"/>
                <w:rFonts w:hint="default" w:ascii="Times New Roman" w:hAnsi="Times New Roman" w:cs="Times New Roman"/>
                <w:color w:val="auto"/>
                <w:sz w:val="21"/>
                <w:szCs w:val="21"/>
                <w:highlight w:val="none"/>
              </w:rPr>
              <w:t>公顷</w:t>
            </w:r>
          </w:p>
        </w:tc>
        <w:tc>
          <w:tcPr>
            <w:tcW w:w="1342" w:type="dxa"/>
            <w:vAlign w:val="center"/>
          </w:tcPr>
          <w:p>
            <w:pPr>
              <w:pStyle w:val="45"/>
              <w:spacing w:line="360" w:lineRule="exact"/>
              <w:rPr>
                <w:rFonts w:eastAsia="仿宋" w:cs="Times New Roman"/>
                <w:sz w:val="21"/>
                <w:szCs w:val="21"/>
                <w:highlight w:val="none"/>
              </w:rPr>
            </w:pPr>
            <w:r>
              <w:rPr>
                <w:rFonts w:hint="eastAsia" w:ascii="Times New Roman" w:hAnsi="Times New Roman" w:cs="Times New Roman"/>
                <w:color w:val="000000"/>
                <w:kern w:val="0"/>
                <w:sz w:val="21"/>
                <w:szCs w:val="21"/>
                <w:highlight w:val="none"/>
                <w:lang w:bidi="ar"/>
              </w:rPr>
              <w:t>2416.02</w:t>
            </w:r>
          </w:p>
        </w:tc>
        <w:tc>
          <w:tcPr>
            <w:tcW w:w="2025" w:type="dxa"/>
            <w:vAlign w:val="center"/>
          </w:tcPr>
          <w:p>
            <w:pPr>
              <w:pStyle w:val="45"/>
              <w:spacing w:line="360" w:lineRule="exact"/>
              <w:rPr>
                <w:rFonts w:eastAsia="仿宋" w:cs="Times New Roman"/>
                <w:sz w:val="21"/>
                <w:szCs w:val="21"/>
                <w:highlight w:val="none"/>
              </w:rPr>
            </w:pPr>
            <w:r>
              <w:rPr>
                <w:rFonts w:eastAsia="仿宋" w:cs="Times New Roman"/>
                <w:sz w:val="21"/>
                <w:szCs w:val="21"/>
                <w:highlight w:val="none"/>
              </w:rPr>
              <w:t>25.74%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spacing w:line="360" w:lineRule="exact"/>
              <w:rPr>
                <w:rFonts w:eastAsia="仿宋" w:cs="Times New Roman"/>
                <w:sz w:val="21"/>
                <w:szCs w:val="21"/>
              </w:rPr>
            </w:pPr>
            <w:r>
              <w:rPr>
                <w:rStyle w:val="50"/>
                <w:rFonts w:hint="default" w:ascii="Times New Roman" w:hAnsi="Times New Roman" w:eastAsia="仿宋" w:cs="Times New Roman"/>
                <w:color w:val="auto"/>
                <w:sz w:val="21"/>
                <w:szCs w:val="21"/>
              </w:rPr>
              <w:t>三</w:t>
            </w:r>
          </w:p>
        </w:tc>
        <w:tc>
          <w:tcPr>
            <w:tcW w:w="3406" w:type="dxa"/>
            <w:vAlign w:val="center"/>
          </w:tcPr>
          <w:p>
            <w:pPr>
              <w:pStyle w:val="45"/>
              <w:spacing w:line="360" w:lineRule="exact"/>
              <w:rPr>
                <w:rFonts w:eastAsia="仿宋" w:cs="Times New Roman"/>
                <w:sz w:val="21"/>
                <w:szCs w:val="21"/>
              </w:rPr>
            </w:pPr>
            <w:r>
              <w:rPr>
                <w:rStyle w:val="50"/>
                <w:rFonts w:hint="default" w:ascii="Times New Roman" w:hAnsi="Times New Roman" w:eastAsia="仿宋" w:cs="Times New Roman"/>
                <w:color w:val="auto"/>
                <w:sz w:val="21"/>
                <w:szCs w:val="21"/>
              </w:rPr>
              <w:t>主要建设内容</w:t>
            </w:r>
          </w:p>
        </w:tc>
        <w:tc>
          <w:tcPr>
            <w:tcW w:w="1134" w:type="dxa"/>
            <w:vAlign w:val="center"/>
          </w:tcPr>
          <w:p>
            <w:pPr>
              <w:pStyle w:val="45"/>
              <w:spacing w:line="360" w:lineRule="exact"/>
              <w:rPr>
                <w:rFonts w:eastAsia="仿宋" w:cs="Times New Roman"/>
                <w:sz w:val="21"/>
                <w:szCs w:val="21"/>
              </w:rPr>
            </w:pPr>
          </w:p>
        </w:tc>
        <w:tc>
          <w:tcPr>
            <w:tcW w:w="1342" w:type="dxa"/>
            <w:vAlign w:val="center"/>
          </w:tcPr>
          <w:p>
            <w:pPr>
              <w:pStyle w:val="45"/>
              <w:spacing w:line="360" w:lineRule="exact"/>
              <w:rPr>
                <w:rFonts w:eastAsia="仿宋" w:cs="Times New Roman"/>
                <w:sz w:val="21"/>
                <w:szCs w:val="21"/>
              </w:rPr>
            </w:pP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spacing w:line="360" w:lineRule="exact"/>
              <w:rPr>
                <w:rFonts w:eastAsia="仿宋" w:cs="Times New Roman"/>
                <w:sz w:val="21"/>
                <w:szCs w:val="21"/>
              </w:rPr>
            </w:pPr>
            <w:r>
              <w:rPr>
                <w:rFonts w:hint="eastAsia" w:eastAsia="仿宋" w:cs="Times New Roman"/>
                <w:sz w:val="21"/>
                <w:szCs w:val="21"/>
              </w:rPr>
              <w:t>（一）</w:t>
            </w: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保护恢复规划</w:t>
            </w:r>
          </w:p>
        </w:tc>
        <w:tc>
          <w:tcPr>
            <w:tcW w:w="1134" w:type="dxa"/>
            <w:vAlign w:val="center"/>
          </w:tcPr>
          <w:p>
            <w:pPr>
              <w:pStyle w:val="45"/>
              <w:spacing w:line="360" w:lineRule="exact"/>
              <w:rPr>
                <w:rFonts w:eastAsia="仿宋" w:cs="Times New Roman"/>
                <w:sz w:val="21"/>
                <w:szCs w:val="21"/>
              </w:rPr>
            </w:pPr>
          </w:p>
        </w:tc>
        <w:tc>
          <w:tcPr>
            <w:tcW w:w="1342" w:type="dxa"/>
            <w:vAlign w:val="center"/>
          </w:tcPr>
          <w:p>
            <w:pPr>
              <w:pStyle w:val="45"/>
              <w:spacing w:line="360" w:lineRule="exact"/>
              <w:rPr>
                <w:rFonts w:eastAsia="仿宋" w:cs="Times New Roman"/>
                <w:sz w:val="21"/>
                <w:szCs w:val="21"/>
              </w:rPr>
            </w:pP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水源涵养林、护岸林的建设和保护</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公顷</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1000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生态疏浚</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公里</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66.8</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废弃物集中清理</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项</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打捞船（含设备）</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艘（套）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4</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垃圾处理池</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座</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39</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分类垃圾桶</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1000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人工湿地</w:t>
            </w:r>
            <w:r>
              <w:rPr>
                <w:rFonts w:eastAsia="仿宋" w:cs="Times New Roman"/>
                <w:sz w:val="21"/>
                <w:szCs w:val="21"/>
              </w:rPr>
              <w:t>+</w:t>
            </w:r>
            <w:r>
              <w:rPr>
                <w:rFonts w:hint="eastAsia" w:eastAsia="仿宋" w:cs="Times New Roman"/>
                <w:sz w:val="21"/>
                <w:szCs w:val="21"/>
              </w:rPr>
              <w:t>生态沟渠</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39</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太阳能杀虫灯</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个</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1000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带状人工湿地生态系统</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公顷</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120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生态沟渠改造</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千米</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117</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富营养化治理</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项</w:t>
            </w:r>
          </w:p>
        </w:tc>
        <w:tc>
          <w:tcPr>
            <w:tcW w:w="1342" w:type="dxa"/>
            <w:vAlign w:val="center"/>
          </w:tcPr>
          <w:p>
            <w:pPr>
              <w:pStyle w:val="45"/>
              <w:spacing w:line="360" w:lineRule="exact"/>
              <w:rPr>
                <w:rFonts w:eastAsia="仿宋" w:cs="Times New Roman"/>
                <w:sz w:val="21"/>
                <w:szCs w:val="21"/>
              </w:rPr>
            </w:pPr>
            <w:r>
              <w:rPr>
                <w:rFonts w:hint="eastAsia"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完全演替系统修复模式</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千米</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55</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不完全演替系列修复模式</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千米</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70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自然演替修复模式</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千米</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60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混合修复模式</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千米</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60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洲滩湿地恢复与修复工程</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公顷</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145</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水禽栖息地重建工程</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公顷</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700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河岸景观林恢复</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公顷</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鱼类增殖放流</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项</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杨树林改造工程</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公顷</w:t>
            </w:r>
          </w:p>
        </w:tc>
        <w:tc>
          <w:tcPr>
            <w:tcW w:w="1342" w:type="dxa"/>
            <w:vAlign w:val="center"/>
          </w:tcPr>
          <w:p>
            <w:pPr>
              <w:pStyle w:val="45"/>
              <w:spacing w:line="360" w:lineRule="exact"/>
              <w:rPr>
                <w:rFonts w:eastAsia="仿宋" w:cs="Times New Roman"/>
                <w:sz w:val="21"/>
                <w:szCs w:val="21"/>
              </w:rPr>
            </w:pPr>
            <w:r>
              <w:rPr>
                <w:rFonts w:hint="eastAsia" w:eastAsia="仿宋" w:cs="Times New Roman"/>
                <w:sz w:val="21"/>
                <w:szCs w:val="21"/>
              </w:rPr>
              <w:t>5</w:t>
            </w:r>
            <w:r>
              <w:rPr>
                <w:rFonts w:eastAsia="仿宋" w:cs="Times New Roman"/>
                <w:sz w:val="21"/>
                <w:szCs w:val="21"/>
              </w:rPr>
              <w:t>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野生动物救助站建设</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平方米</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300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野生动物救护设备</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套</w:t>
            </w:r>
          </w:p>
        </w:tc>
        <w:tc>
          <w:tcPr>
            <w:tcW w:w="1342" w:type="dxa"/>
            <w:vAlign w:val="center"/>
          </w:tcPr>
          <w:p>
            <w:pPr>
              <w:pStyle w:val="45"/>
              <w:spacing w:line="360" w:lineRule="exact"/>
              <w:rPr>
                <w:rFonts w:eastAsia="仿宋" w:cs="Times New Roman"/>
                <w:sz w:val="21"/>
                <w:szCs w:val="21"/>
              </w:rPr>
            </w:pPr>
            <w:r>
              <w:rPr>
                <w:rFonts w:hint="eastAsia"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界碑</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界桩</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600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标示牌</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360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视频监控系统建设</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项</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业务培训</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次</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8</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技能培训</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次</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8</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仙阳湖文化的整理和保护</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项</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7"/>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举办湿地公园文化节</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次</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8</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spacing w:line="360" w:lineRule="exact"/>
              <w:rPr>
                <w:rFonts w:eastAsia="仿宋" w:cs="Times New Roman"/>
                <w:sz w:val="21"/>
                <w:szCs w:val="21"/>
              </w:rPr>
            </w:pPr>
            <w:r>
              <w:rPr>
                <w:rFonts w:hint="eastAsia" w:eastAsia="仿宋" w:cs="Times New Roman"/>
                <w:sz w:val="21"/>
                <w:szCs w:val="21"/>
              </w:rPr>
              <w:t>（二）</w:t>
            </w: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科普宣教规划</w:t>
            </w:r>
          </w:p>
        </w:tc>
        <w:tc>
          <w:tcPr>
            <w:tcW w:w="1134" w:type="dxa"/>
            <w:vAlign w:val="center"/>
          </w:tcPr>
          <w:p>
            <w:pPr>
              <w:pStyle w:val="45"/>
              <w:spacing w:line="360" w:lineRule="exact"/>
              <w:rPr>
                <w:rFonts w:eastAsia="仿宋" w:cs="Times New Roman"/>
                <w:sz w:val="21"/>
                <w:szCs w:val="21"/>
              </w:rPr>
            </w:pPr>
          </w:p>
        </w:tc>
        <w:tc>
          <w:tcPr>
            <w:tcW w:w="1342" w:type="dxa"/>
            <w:vAlign w:val="center"/>
          </w:tcPr>
          <w:p>
            <w:pPr>
              <w:pStyle w:val="45"/>
              <w:spacing w:line="360" w:lineRule="exact"/>
              <w:rPr>
                <w:rFonts w:eastAsia="仿宋" w:cs="Times New Roman"/>
                <w:sz w:val="21"/>
                <w:szCs w:val="21"/>
              </w:rPr>
            </w:pP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8"/>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湿地科普宣教中心</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平方米</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2000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2" w:hRule="atLeast"/>
        </w:trPr>
        <w:tc>
          <w:tcPr>
            <w:tcW w:w="854" w:type="dxa"/>
            <w:vAlign w:val="center"/>
          </w:tcPr>
          <w:p>
            <w:pPr>
              <w:pStyle w:val="45"/>
              <w:numPr>
                <w:ilvl w:val="0"/>
                <w:numId w:val="8"/>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宣教设备</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8"/>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湿地生态教育广场</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平方米</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13000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2" w:hRule="atLeast"/>
        </w:trPr>
        <w:tc>
          <w:tcPr>
            <w:tcW w:w="854" w:type="dxa"/>
            <w:vAlign w:val="center"/>
          </w:tcPr>
          <w:p>
            <w:pPr>
              <w:pStyle w:val="45"/>
              <w:numPr>
                <w:ilvl w:val="0"/>
                <w:numId w:val="8"/>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湿地科普宣教长廊</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千米</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40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2" w:hRule="atLeast"/>
        </w:trPr>
        <w:tc>
          <w:tcPr>
            <w:tcW w:w="854" w:type="dxa"/>
            <w:vAlign w:val="center"/>
          </w:tcPr>
          <w:p>
            <w:pPr>
              <w:pStyle w:val="45"/>
              <w:numPr>
                <w:ilvl w:val="0"/>
                <w:numId w:val="8"/>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湿地植物展示园</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公顷</w:t>
            </w:r>
          </w:p>
        </w:tc>
        <w:tc>
          <w:tcPr>
            <w:tcW w:w="1342" w:type="dxa"/>
            <w:vAlign w:val="center"/>
          </w:tcPr>
          <w:p>
            <w:pPr>
              <w:pStyle w:val="45"/>
              <w:spacing w:line="360" w:lineRule="exact"/>
              <w:rPr>
                <w:rFonts w:eastAsia="仿宋" w:cs="Times New Roman"/>
                <w:sz w:val="21"/>
                <w:szCs w:val="21"/>
              </w:rPr>
            </w:pPr>
            <w:r>
              <w:rPr>
                <w:rFonts w:hint="eastAsia" w:eastAsia="仿宋" w:cs="Times New Roman"/>
                <w:sz w:val="21"/>
                <w:szCs w:val="21"/>
              </w:rPr>
              <w:t>2</w:t>
            </w:r>
            <w:r>
              <w:rPr>
                <w:rFonts w:eastAsia="仿宋" w:cs="Times New Roman"/>
                <w:sz w:val="21"/>
                <w:szCs w:val="21"/>
              </w:rPr>
              <w:t>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8"/>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图文展示与播放系统</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8"/>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大型宣传标牌</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8</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8"/>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宣传标牌</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30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8"/>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指示牌</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8"/>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警示牌</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200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8"/>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动植物物种识别标牌</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2000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8"/>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宣传册</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万册</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8"/>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导游图及导游解说体系</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spacing w:line="360" w:lineRule="exact"/>
              <w:rPr>
                <w:rFonts w:eastAsia="仿宋" w:cs="Times New Roman"/>
                <w:sz w:val="21"/>
                <w:szCs w:val="21"/>
              </w:rPr>
            </w:pPr>
            <w:r>
              <w:rPr>
                <w:rFonts w:hint="eastAsia" w:eastAsia="仿宋" w:cs="Times New Roman"/>
                <w:sz w:val="21"/>
                <w:szCs w:val="21"/>
              </w:rPr>
              <w:t>（三）</w:t>
            </w: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科研监测规划</w:t>
            </w:r>
          </w:p>
        </w:tc>
        <w:tc>
          <w:tcPr>
            <w:tcW w:w="1134" w:type="dxa"/>
            <w:vAlign w:val="center"/>
          </w:tcPr>
          <w:p>
            <w:pPr>
              <w:pStyle w:val="45"/>
              <w:spacing w:line="360" w:lineRule="exact"/>
              <w:rPr>
                <w:rFonts w:eastAsia="仿宋" w:cs="Times New Roman"/>
                <w:sz w:val="21"/>
                <w:szCs w:val="21"/>
              </w:rPr>
            </w:pPr>
          </w:p>
        </w:tc>
        <w:tc>
          <w:tcPr>
            <w:tcW w:w="1342" w:type="dxa"/>
            <w:vAlign w:val="center"/>
          </w:tcPr>
          <w:p>
            <w:pPr>
              <w:pStyle w:val="45"/>
              <w:spacing w:line="360" w:lineRule="exact"/>
              <w:rPr>
                <w:rFonts w:eastAsia="仿宋" w:cs="Times New Roman"/>
                <w:sz w:val="21"/>
                <w:szCs w:val="21"/>
              </w:rPr>
            </w:pP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9"/>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科研课题</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个</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4</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9"/>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国内合作考察</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次</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8</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9"/>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国内学习考察</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次</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8</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9"/>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培训</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次</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8</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9"/>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湿地科研监测中心</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平方米</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800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9"/>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湿地科研监测中心设备</w:t>
            </w:r>
          </w:p>
        </w:tc>
        <w:tc>
          <w:tcPr>
            <w:tcW w:w="1134" w:type="dxa"/>
            <w:vAlign w:val="center"/>
          </w:tcPr>
          <w:p>
            <w:pPr>
              <w:pStyle w:val="45"/>
              <w:spacing w:line="360" w:lineRule="exact"/>
              <w:rPr>
                <w:rFonts w:eastAsia="仿宋" w:cs="Times New Roman"/>
                <w:color w:val="000000"/>
                <w:sz w:val="21"/>
                <w:szCs w:val="21"/>
              </w:rPr>
            </w:pPr>
            <w:r>
              <w:rPr>
                <w:rFonts w:hint="eastAsia" w:eastAsia="仿宋" w:cs="Times New Roman"/>
                <w:color w:val="000000"/>
                <w:sz w:val="21"/>
                <w:szCs w:val="21"/>
              </w:rPr>
              <w:t>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9"/>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鱼类资源监测研究中心</w:t>
            </w:r>
          </w:p>
        </w:tc>
        <w:tc>
          <w:tcPr>
            <w:tcW w:w="1134" w:type="dxa"/>
            <w:vAlign w:val="center"/>
          </w:tcPr>
          <w:p>
            <w:pPr>
              <w:pStyle w:val="45"/>
              <w:spacing w:line="360" w:lineRule="exact"/>
              <w:rPr>
                <w:rFonts w:eastAsia="仿宋" w:cs="Times New Roman"/>
                <w:color w:val="000000"/>
                <w:sz w:val="21"/>
                <w:szCs w:val="21"/>
              </w:rPr>
            </w:pPr>
            <w:r>
              <w:rPr>
                <w:rFonts w:hint="eastAsia" w:eastAsia="仿宋" w:cs="Times New Roman"/>
                <w:color w:val="000000"/>
                <w:sz w:val="21"/>
                <w:szCs w:val="21"/>
              </w:rPr>
              <w:t>平方米</w:t>
            </w:r>
          </w:p>
        </w:tc>
        <w:tc>
          <w:tcPr>
            <w:tcW w:w="1342" w:type="dxa"/>
            <w:vAlign w:val="center"/>
          </w:tcPr>
          <w:p>
            <w:pPr>
              <w:pStyle w:val="45"/>
              <w:spacing w:line="360" w:lineRule="exact"/>
              <w:rPr>
                <w:rFonts w:eastAsia="仿宋" w:cs="Times New Roman"/>
                <w:sz w:val="21"/>
                <w:szCs w:val="21"/>
              </w:rPr>
            </w:pPr>
            <w:r>
              <w:rPr>
                <w:rFonts w:hint="eastAsia" w:eastAsia="仿宋" w:cs="Times New Roman"/>
                <w:sz w:val="21"/>
                <w:szCs w:val="21"/>
              </w:rPr>
              <w:t>1</w:t>
            </w:r>
            <w:r>
              <w:rPr>
                <w:rFonts w:eastAsia="仿宋" w:cs="Times New Roman"/>
                <w:sz w:val="21"/>
                <w:szCs w:val="21"/>
              </w:rPr>
              <w:t>000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9"/>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研究设施</w:t>
            </w:r>
          </w:p>
        </w:tc>
        <w:tc>
          <w:tcPr>
            <w:tcW w:w="1134" w:type="dxa"/>
            <w:vAlign w:val="center"/>
          </w:tcPr>
          <w:p>
            <w:pPr>
              <w:pStyle w:val="45"/>
              <w:spacing w:line="360" w:lineRule="exact"/>
              <w:rPr>
                <w:rFonts w:eastAsia="仿宋" w:cs="Times New Roman"/>
                <w:color w:val="000000"/>
                <w:sz w:val="21"/>
                <w:szCs w:val="21"/>
              </w:rPr>
            </w:pPr>
            <w:r>
              <w:rPr>
                <w:rFonts w:hint="eastAsia" w:eastAsia="仿宋" w:cs="Times New Roman"/>
                <w:color w:val="000000"/>
                <w:sz w:val="21"/>
                <w:szCs w:val="21"/>
              </w:rPr>
              <w:t>套</w:t>
            </w:r>
          </w:p>
        </w:tc>
        <w:tc>
          <w:tcPr>
            <w:tcW w:w="1342" w:type="dxa"/>
            <w:vAlign w:val="center"/>
          </w:tcPr>
          <w:p>
            <w:pPr>
              <w:pStyle w:val="45"/>
              <w:spacing w:line="360" w:lineRule="exact"/>
              <w:rPr>
                <w:rFonts w:eastAsia="仿宋" w:cs="Times New Roman"/>
                <w:sz w:val="21"/>
                <w:szCs w:val="21"/>
              </w:rPr>
            </w:pPr>
            <w:r>
              <w:rPr>
                <w:rFonts w:hint="eastAsia"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9"/>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水文水质监测站</w:t>
            </w:r>
          </w:p>
        </w:tc>
        <w:tc>
          <w:tcPr>
            <w:tcW w:w="1134" w:type="dxa"/>
            <w:vAlign w:val="center"/>
          </w:tcPr>
          <w:p>
            <w:pPr>
              <w:pStyle w:val="45"/>
              <w:spacing w:line="360" w:lineRule="exact"/>
              <w:rPr>
                <w:rFonts w:eastAsia="仿宋" w:cs="Times New Roman"/>
                <w:color w:val="000000"/>
                <w:sz w:val="21"/>
                <w:szCs w:val="21"/>
              </w:rPr>
            </w:pPr>
            <w:r>
              <w:rPr>
                <w:rFonts w:hint="eastAsia" w:eastAsia="仿宋" w:cs="Times New Roman"/>
                <w:color w:val="000000"/>
                <w:sz w:val="21"/>
                <w:szCs w:val="21"/>
              </w:rPr>
              <w:t>平方米</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200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9"/>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水文水质自动监测设备</w:t>
            </w:r>
          </w:p>
        </w:tc>
        <w:tc>
          <w:tcPr>
            <w:tcW w:w="1134" w:type="dxa"/>
            <w:vAlign w:val="center"/>
          </w:tcPr>
          <w:p>
            <w:pPr>
              <w:pStyle w:val="45"/>
              <w:spacing w:line="360" w:lineRule="exact"/>
              <w:rPr>
                <w:rFonts w:eastAsia="仿宋" w:cs="Times New Roman"/>
                <w:color w:val="000000"/>
                <w:sz w:val="21"/>
                <w:szCs w:val="21"/>
              </w:rPr>
            </w:pPr>
            <w:r>
              <w:rPr>
                <w:rFonts w:hint="eastAsia" w:eastAsia="仿宋" w:cs="Times New Roman"/>
                <w:color w:val="000000"/>
                <w:sz w:val="21"/>
                <w:szCs w:val="21"/>
              </w:rPr>
              <w:t>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2" w:hRule="atLeast"/>
        </w:trPr>
        <w:tc>
          <w:tcPr>
            <w:tcW w:w="854" w:type="dxa"/>
            <w:vAlign w:val="center"/>
          </w:tcPr>
          <w:p>
            <w:pPr>
              <w:pStyle w:val="45"/>
              <w:numPr>
                <w:ilvl w:val="0"/>
                <w:numId w:val="9"/>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气象观测站</w:t>
            </w:r>
          </w:p>
        </w:tc>
        <w:tc>
          <w:tcPr>
            <w:tcW w:w="1134" w:type="dxa"/>
            <w:vAlign w:val="center"/>
          </w:tcPr>
          <w:p>
            <w:pPr>
              <w:pStyle w:val="45"/>
              <w:spacing w:line="360" w:lineRule="exact"/>
              <w:rPr>
                <w:rFonts w:eastAsia="仿宋" w:cs="Times New Roman"/>
                <w:color w:val="000000"/>
                <w:sz w:val="21"/>
                <w:szCs w:val="21"/>
              </w:rPr>
            </w:pPr>
            <w:r>
              <w:rPr>
                <w:rFonts w:hint="eastAsia" w:eastAsia="仿宋" w:cs="Times New Roman"/>
                <w:color w:val="000000"/>
                <w:sz w:val="21"/>
                <w:szCs w:val="21"/>
              </w:rPr>
              <w:t>平方米</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50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9"/>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气象自动观测设备</w:t>
            </w:r>
          </w:p>
        </w:tc>
        <w:tc>
          <w:tcPr>
            <w:tcW w:w="1134" w:type="dxa"/>
            <w:vAlign w:val="center"/>
          </w:tcPr>
          <w:p>
            <w:pPr>
              <w:pStyle w:val="45"/>
              <w:spacing w:line="360" w:lineRule="exact"/>
              <w:rPr>
                <w:rFonts w:eastAsia="仿宋" w:cs="Times New Roman"/>
                <w:color w:val="000000"/>
                <w:sz w:val="21"/>
                <w:szCs w:val="21"/>
              </w:rPr>
            </w:pPr>
            <w:r>
              <w:rPr>
                <w:rFonts w:hint="eastAsia" w:eastAsia="仿宋" w:cs="Times New Roman"/>
                <w:color w:val="000000"/>
                <w:sz w:val="21"/>
                <w:szCs w:val="21"/>
              </w:rPr>
              <w:t>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9"/>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鸟类环志站</w:t>
            </w:r>
          </w:p>
        </w:tc>
        <w:tc>
          <w:tcPr>
            <w:tcW w:w="1134" w:type="dxa"/>
            <w:vAlign w:val="center"/>
          </w:tcPr>
          <w:p>
            <w:pPr>
              <w:pStyle w:val="45"/>
              <w:spacing w:line="360" w:lineRule="exact"/>
              <w:rPr>
                <w:rFonts w:eastAsia="仿宋" w:cs="Times New Roman"/>
                <w:color w:val="000000"/>
                <w:sz w:val="21"/>
                <w:szCs w:val="21"/>
              </w:rPr>
            </w:pPr>
            <w:r>
              <w:rPr>
                <w:rFonts w:hint="eastAsia" w:eastAsia="仿宋" w:cs="Times New Roman"/>
                <w:color w:val="000000"/>
                <w:sz w:val="21"/>
                <w:szCs w:val="21"/>
              </w:rPr>
              <w:t>平方米</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300</w:t>
            </w:r>
          </w:p>
        </w:tc>
        <w:tc>
          <w:tcPr>
            <w:tcW w:w="2025" w:type="dxa"/>
            <w:vAlign w:val="center"/>
          </w:tcPr>
          <w:p>
            <w:pPr>
              <w:pStyle w:val="45"/>
              <w:spacing w:line="360" w:lineRule="exact"/>
              <w:rPr>
                <w:rFonts w:eastAsia="仿宋" w:cs="Times New Roman"/>
                <w:sz w:val="21"/>
                <w:szCs w:val="21"/>
              </w:rPr>
            </w:pPr>
            <w:r>
              <w:rPr>
                <w:rFonts w:hint="eastAsia" w:eastAsia="仿宋" w:cs="Times New Roman"/>
                <w:sz w:val="21"/>
                <w:szCs w:val="21"/>
              </w:rPr>
              <w:t>和动物救助中心共建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9"/>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环境空气质量监测</w:t>
            </w:r>
          </w:p>
        </w:tc>
        <w:tc>
          <w:tcPr>
            <w:tcW w:w="1134" w:type="dxa"/>
            <w:vAlign w:val="center"/>
          </w:tcPr>
          <w:p>
            <w:pPr>
              <w:pStyle w:val="45"/>
              <w:spacing w:line="360" w:lineRule="exact"/>
              <w:rPr>
                <w:rFonts w:eastAsia="仿宋" w:cs="Times New Roman"/>
                <w:color w:val="000000"/>
                <w:sz w:val="21"/>
                <w:szCs w:val="21"/>
              </w:rPr>
            </w:pPr>
            <w:r>
              <w:rPr>
                <w:rFonts w:hint="eastAsia" w:eastAsia="仿宋" w:cs="Times New Roman"/>
                <w:color w:val="000000"/>
                <w:sz w:val="21"/>
                <w:szCs w:val="21"/>
              </w:rPr>
              <w:t>年</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8</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9"/>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地表水环境质量监测</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年</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8</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9"/>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土壤环境质量监测</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年</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8</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9"/>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植物多样性监测</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年</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8</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9"/>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动物多样性监测</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年</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8</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9"/>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游客影响监测</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年</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8</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9"/>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湿地监测信息系统</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spacing w:line="360" w:lineRule="exact"/>
              <w:rPr>
                <w:rFonts w:eastAsia="仿宋" w:cs="Times New Roman"/>
                <w:sz w:val="21"/>
                <w:szCs w:val="21"/>
              </w:rPr>
            </w:pPr>
            <w:r>
              <w:rPr>
                <w:rFonts w:hint="eastAsia" w:eastAsia="仿宋" w:cs="Times New Roman"/>
                <w:sz w:val="21"/>
                <w:szCs w:val="21"/>
              </w:rPr>
              <w:t>（四）</w:t>
            </w: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合理利用规划</w:t>
            </w:r>
          </w:p>
        </w:tc>
        <w:tc>
          <w:tcPr>
            <w:tcW w:w="1134" w:type="dxa"/>
            <w:vAlign w:val="center"/>
          </w:tcPr>
          <w:p>
            <w:pPr>
              <w:pStyle w:val="45"/>
              <w:spacing w:line="360" w:lineRule="exact"/>
              <w:rPr>
                <w:rFonts w:eastAsia="仿宋" w:cs="Times New Roman"/>
                <w:sz w:val="21"/>
                <w:szCs w:val="21"/>
              </w:rPr>
            </w:pPr>
          </w:p>
        </w:tc>
        <w:tc>
          <w:tcPr>
            <w:tcW w:w="1342" w:type="dxa"/>
            <w:vAlign w:val="center"/>
          </w:tcPr>
          <w:p>
            <w:pPr>
              <w:pStyle w:val="45"/>
              <w:spacing w:line="360" w:lineRule="exact"/>
              <w:rPr>
                <w:rFonts w:eastAsia="仿宋" w:cs="Times New Roman"/>
                <w:sz w:val="21"/>
                <w:szCs w:val="21"/>
              </w:rPr>
            </w:pP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0"/>
              </w:numPr>
              <w:spacing w:line="360" w:lineRule="exact"/>
              <w:rPr>
                <w:rFonts w:eastAsia="仿宋" w:cs="Times New Roman"/>
                <w:sz w:val="21"/>
                <w:szCs w:val="21"/>
              </w:rPr>
            </w:pPr>
          </w:p>
        </w:tc>
        <w:tc>
          <w:tcPr>
            <w:tcW w:w="3406" w:type="dxa"/>
            <w:vAlign w:val="center"/>
          </w:tcPr>
          <w:p>
            <w:pPr>
              <w:widowControl/>
              <w:spacing w:line="360" w:lineRule="exact"/>
              <w:ind w:firstLine="0" w:firstLineChars="0"/>
              <w:jc w:val="center"/>
              <w:rPr>
                <w:rFonts w:eastAsia="宋体" w:cs="宋体"/>
                <w:color w:val="000000"/>
                <w:kern w:val="0"/>
                <w:sz w:val="21"/>
                <w:szCs w:val="21"/>
              </w:rPr>
            </w:pPr>
            <w:r>
              <w:rPr>
                <w:rFonts w:hint="eastAsia" w:cs="Times New Roman"/>
                <w:sz w:val="21"/>
                <w:szCs w:val="21"/>
              </w:rPr>
              <w:t>观鸟屋</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座</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0"/>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观鸟塔</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座</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20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0"/>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国防教育拓展基地</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处</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0"/>
              </w:numPr>
              <w:spacing w:line="360" w:lineRule="exact"/>
              <w:rPr>
                <w:rFonts w:eastAsia="仿宋" w:cs="Times New Roman"/>
                <w:sz w:val="21"/>
                <w:szCs w:val="21"/>
              </w:rPr>
            </w:pPr>
          </w:p>
        </w:tc>
        <w:tc>
          <w:tcPr>
            <w:tcW w:w="3406" w:type="dxa"/>
          </w:tcPr>
          <w:p>
            <w:pPr>
              <w:widowControl/>
              <w:spacing w:line="360" w:lineRule="exact"/>
              <w:ind w:firstLine="0" w:firstLineChars="0"/>
              <w:jc w:val="center"/>
              <w:rPr>
                <w:rFonts w:cs="Times New Roman"/>
                <w:color w:val="000000"/>
                <w:sz w:val="21"/>
                <w:szCs w:val="21"/>
              </w:rPr>
            </w:pPr>
            <w:r>
              <w:rPr>
                <w:rFonts w:hint="eastAsia"/>
                <w:color w:val="000000"/>
                <w:sz w:val="21"/>
                <w:szCs w:val="21"/>
              </w:rPr>
              <w:t>康养休闲基地</w:t>
            </w:r>
          </w:p>
        </w:tc>
        <w:tc>
          <w:tcPr>
            <w:tcW w:w="1134" w:type="dxa"/>
          </w:tcPr>
          <w:p>
            <w:pPr>
              <w:pStyle w:val="45"/>
              <w:spacing w:line="360" w:lineRule="exact"/>
              <w:rPr>
                <w:rFonts w:eastAsia="仿宋" w:cs="Times New Roman"/>
                <w:sz w:val="21"/>
                <w:szCs w:val="21"/>
              </w:rPr>
            </w:pPr>
            <w:r>
              <w:rPr>
                <w:rFonts w:hint="eastAsia" w:eastAsia="仿宋" w:cs="Times New Roman"/>
                <w:sz w:val="21"/>
                <w:szCs w:val="21"/>
              </w:rPr>
              <w:t>处</w:t>
            </w:r>
          </w:p>
        </w:tc>
        <w:tc>
          <w:tcPr>
            <w:tcW w:w="1342" w:type="dxa"/>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0"/>
              </w:numPr>
              <w:spacing w:line="360" w:lineRule="exact"/>
              <w:rPr>
                <w:rFonts w:eastAsia="仿宋" w:cs="Times New Roman"/>
                <w:sz w:val="21"/>
                <w:szCs w:val="21"/>
              </w:rPr>
            </w:pPr>
          </w:p>
        </w:tc>
        <w:tc>
          <w:tcPr>
            <w:tcW w:w="3406" w:type="dxa"/>
          </w:tcPr>
          <w:p>
            <w:pPr>
              <w:widowControl/>
              <w:spacing w:line="360" w:lineRule="exact"/>
              <w:ind w:firstLine="0" w:firstLineChars="0"/>
              <w:jc w:val="center"/>
              <w:rPr>
                <w:rFonts w:cs="Times New Roman"/>
                <w:color w:val="000000"/>
                <w:sz w:val="21"/>
                <w:szCs w:val="21"/>
              </w:rPr>
            </w:pPr>
            <w:r>
              <w:rPr>
                <w:rFonts w:hint="eastAsia"/>
                <w:color w:val="000000"/>
                <w:sz w:val="21"/>
                <w:szCs w:val="21"/>
              </w:rPr>
              <w:t>鱼文化园</w:t>
            </w:r>
          </w:p>
        </w:tc>
        <w:tc>
          <w:tcPr>
            <w:tcW w:w="1134" w:type="dxa"/>
          </w:tcPr>
          <w:p>
            <w:pPr>
              <w:pStyle w:val="45"/>
              <w:spacing w:line="360" w:lineRule="exact"/>
              <w:rPr>
                <w:rFonts w:eastAsia="仿宋" w:cs="Times New Roman"/>
                <w:sz w:val="21"/>
                <w:szCs w:val="21"/>
              </w:rPr>
            </w:pPr>
            <w:r>
              <w:rPr>
                <w:rFonts w:hint="eastAsia" w:eastAsia="仿宋" w:cs="Times New Roman"/>
                <w:sz w:val="21"/>
                <w:szCs w:val="21"/>
              </w:rPr>
              <w:t>处</w:t>
            </w:r>
          </w:p>
        </w:tc>
        <w:tc>
          <w:tcPr>
            <w:tcW w:w="1342" w:type="dxa"/>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0"/>
              </w:numPr>
              <w:spacing w:line="360" w:lineRule="exact"/>
              <w:rPr>
                <w:rFonts w:eastAsia="仿宋" w:cs="Times New Roman"/>
                <w:sz w:val="21"/>
                <w:szCs w:val="21"/>
              </w:rPr>
            </w:pPr>
          </w:p>
        </w:tc>
        <w:tc>
          <w:tcPr>
            <w:tcW w:w="3406" w:type="dxa"/>
          </w:tcPr>
          <w:p>
            <w:pPr>
              <w:widowControl/>
              <w:spacing w:line="360" w:lineRule="exact"/>
              <w:ind w:firstLine="0" w:firstLineChars="0"/>
              <w:jc w:val="center"/>
              <w:rPr>
                <w:rFonts w:cs="Times New Roman"/>
                <w:color w:val="000000"/>
                <w:sz w:val="21"/>
                <w:szCs w:val="21"/>
              </w:rPr>
            </w:pPr>
            <w:r>
              <w:rPr>
                <w:rFonts w:hint="eastAsia"/>
                <w:color w:val="000000"/>
                <w:sz w:val="21"/>
                <w:szCs w:val="21"/>
              </w:rPr>
              <w:t>生态钓场</w:t>
            </w:r>
          </w:p>
        </w:tc>
        <w:tc>
          <w:tcPr>
            <w:tcW w:w="1134" w:type="dxa"/>
          </w:tcPr>
          <w:p>
            <w:pPr>
              <w:pStyle w:val="45"/>
              <w:spacing w:line="360" w:lineRule="exact"/>
              <w:rPr>
                <w:rFonts w:eastAsia="仿宋" w:cs="Times New Roman"/>
                <w:sz w:val="21"/>
                <w:szCs w:val="21"/>
              </w:rPr>
            </w:pPr>
            <w:r>
              <w:rPr>
                <w:rFonts w:hint="eastAsia" w:eastAsia="仿宋" w:cs="Times New Roman"/>
                <w:sz w:val="21"/>
                <w:szCs w:val="21"/>
              </w:rPr>
              <w:t>处</w:t>
            </w:r>
          </w:p>
        </w:tc>
        <w:tc>
          <w:tcPr>
            <w:tcW w:w="1342" w:type="dxa"/>
          </w:tcPr>
          <w:p>
            <w:pPr>
              <w:pStyle w:val="45"/>
              <w:spacing w:line="360" w:lineRule="exact"/>
              <w:rPr>
                <w:rFonts w:eastAsia="仿宋" w:cs="Times New Roman"/>
                <w:sz w:val="21"/>
                <w:szCs w:val="21"/>
              </w:rPr>
            </w:pPr>
            <w:r>
              <w:rPr>
                <w:rFonts w:eastAsia="仿宋" w:cs="Times New Roman"/>
                <w:sz w:val="21"/>
                <w:szCs w:val="21"/>
              </w:rPr>
              <w:t>20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0"/>
              </w:numPr>
              <w:spacing w:line="360" w:lineRule="exact"/>
              <w:rPr>
                <w:rFonts w:eastAsia="仿宋" w:cs="Times New Roman"/>
                <w:sz w:val="21"/>
                <w:szCs w:val="21"/>
              </w:rPr>
            </w:pPr>
          </w:p>
        </w:tc>
        <w:tc>
          <w:tcPr>
            <w:tcW w:w="3406" w:type="dxa"/>
            <w:vAlign w:val="center"/>
          </w:tcPr>
          <w:p>
            <w:pPr>
              <w:widowControl/>
              <w:spacing w:line="360" w:lineRule="exact"/>
              <w:ind w:firstLine="0" w:firstLineChars="0"/>
              <w:jc w:val="center"/>
              <w:rPr>
                <w:rFonts w:eastAsia="宋体" w:cs="宋体"/>
                <w:color w:val="000000"/>
                <w:kern w:val="0"/>
                <w:sz w:val="21"/>
                <w:szCs w:val="21"/>
              </w:rPr>
            </w:pPr>
            <w:r>
              <w:rPr>
                <w:rFonts w:hint="eastAsia"/>
                <w:color w:val="000000"/>
                <w:sz w:val="21"/>
                <w:szCs w:val="21"/>
              </w:rPr>
              <w:t>农耕文化园</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处</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3</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0"/>
              </w:numPr>
              <w:spacing w:line="360" w:lineRule="exact"/>
              <w:rPr>
                <w:rFonts w:eastAsia="仿宋" w:cs="Times New Roman"/>
                <w:sz w:val="21"/>
                <w:szCs w:val="21"/>
              </w:rPr>
            </w:pPr>
          </w:p>
        </w:tc>
        <w:tc>
          <w:tcPr>
            <w:tcW w:w="3406" w:type="dxa"/>
            <w:vAlign w:val="center"/>
          </w:tcPr>
          <w:p>
            <w:pPr>
              <w:widowControl/>
              <w:spacing w:line="360" w:lineRule="exact"/>
              <w:ind w:firstLine="0" w:firstLineChars="0"/>
              <w:jc w:val="center"/>
              <w:rPr>
                <w:rFonts w:eastAsia="宋体" w:cs="宋体"/>
                <w:color w:val="000000"/>
                <w:kern w:val="0"/>
                <w:sz w:val="21"/>
                <w:szCs w:val="21"/>
              </w:rPr>
            </w:pPr>
            <w:r>
              <w:rPr>
                <w:rFonts w:hint="eastAsia"/>
                <w:color w:val="000000"/>
                <w:sz w:val="21"/>
                <w:szCs w:val="21"/>
              </w:rPr>
              <w:t>茶文化园</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处</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0"/>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游客服务中心</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平方米</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6670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0"/>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医疗设施设备</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项</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0"/>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生态厕所</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座</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20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0"/>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垃圾箱</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个</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500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0"/>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码头综合服务站</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处</w:t>
            </w:r>
          </w:p>
        </w:tc>
        <w:tc>
          <w:tcPr>
            <w:tcW w:w="1342" w:type="dxa"/>
            <w:vAlign w:val="center"/>
          </w:tcPr>
          <w:p>
            <w:pPr>
              <w:pStyle w:val="45"/>
              <w:spacing w:line="360" w:lineRule="exact"/>
              <w:rPr>
                <w:rFonts w:eastAsia="仿宋" w:cs="Times New Roman"/>
                <w:sz w:val="21"/>
                <w:szCs w:val="21"/>
              </w:rPr>
            </w:pPr>
            <w:r>
              <w:rPr>
                <w:rFonts w:hint="eastAsia" w:eastAsia="仿宋" w:cs="Times New Roman"/>
                <w:sz w:val="21"/>
                <w:szCs w:val="21"/>
              </w:rPr>
              <w:t>7</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0"/>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观光索道</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处</w:t>
            </w:r>
          </w:p>
        </w:tc>
        <w:tc>
          <w:tcPr>
            <w:tcW w:w="1342" w:type="dxa"/>
            <w:vAlign w:val="center"/>
          </w:tcPr>
          <w:p>
            <w:pPr>
              <w:pStyle w:val="45"/>
              <w:spacing w:line="360" w:lineRule="exact"/>
              <w:rPr>
                <w:rFonts w:eastAsia="仿宋" w:cs="Times New Roman"/>
                <w:sz w:val="21"/>
                <w:szCs w:val="21"/>
              </w:rPr>
            </w:pPr>
            <w:r>
              <w:rPr>
                <w:rFonts w:hint="eastAsia"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0"/>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小型客车</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辆</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5</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0"/>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电瓶车</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辆</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15</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0"/>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观光船</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艘</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6</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spacing w:line="360" w:lineRule="exact"/>
              <w:rPr>
                <w:rFonts w:eastAsia="仿宋" w:cs="Times New Roman"/>
                <w:sz w:val="21"/>
                <w:szCs w:val="21"/>
              </w:rPr>
            </w:pPr>
            <w:r>
              <w:rPr>
                <w:rFonts w:hint="eastAsia" w:eastAsia="仿宋" w:cs="Times New Roman"/>
                <w:sz w:val="21"/>
                <w:szCs w:val="21"/>
              </w:rPr>
              <w:t>（五）</w:t>
            </w: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防御灾害规划</w:t>
            </w:r>
          </w:p>
        </w:tc>
        <w:tc>
          <w:tcPr>
            <w:tcW w:w="1134" w:type="dxa"/>
            <w:vAlign w:val="center"/>
          </w:tcPr>
          <w:p>
            <w:pPr>
              <w:pStyle w:val="45"/>
              <w:spacing w:line="360" w:lineRule="exact"/>
              <w:rPr>
                <w:rFonts w:eastAsia="仿宋" w:cs="Times New Roman"/>
                <w:sz w:val="21"/>
                <w:szCs w:val="21"/>
              </w:rPr>
            </w:pPr>
          </w:p>
        </w:tc>
        <w:tc>
          <w:tcPr>
            <w:tcW w:w="1342" w:type="dxa"/>
            <w:vAlign w:val="center"/>
          </w:tcPr>
          <w:p>
            <w:pPr>
              <w:pStyle w:val="45"/>
              <w:spacing w:line="360" w:lineRule="exact"/>
              <w:rPr>
                <w:rFonts w:eastAsia="仿宋" w:cs="Times New Roman"/>
                <w:sz w:val="21"/>
                <w:szCs w:val="21"/>
              </w:rPr>
            </w:pP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1"/>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外来有害物种防治检检疫设备</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1"/>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检疫防治车辆</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辆</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1"/>
              </w:numPr>
              <w:spacing w:line="360" w:lineRule="exact"/>
              <w:rPr>
                <w:rFonts w:eastAsia="仿宋" w:cs="Times New Roman"/>
                <w:sz w:val="21"/>
                <w:szCs w:val="21"/>
              </w:rPr>
            </w:pPr>
          </w:p>
        </w:tc>
        <w:tc>
          <w:tcPr>
            <w:tcW w:w="3406" w:type="dxa"/>
            <w:vAlign w:val="center"/>
          </w:tcPr>
          <w:p>
            <w:pPr>
              <w:pStyle w:val="45"/>
              <w:spacing w:line="240" w:lineRule="exact"/>
              <w:rPr>
                <w:rFonts w:eastAsia="仿宋" w:cs="Times New Roman"/>
                <w:sz w:val="21"/>
                <w:szCs w:val="21"/>
              </w:rPr>
            </w:pPr>
            <w:r>
              <w:rPr>
                <w:rFonts w:hint="eastAsia" w:eastAsia="仿宋" w:cs="Times New Roman"/>
                <w:sz w:val="21"/>
                <w:szCs w:val="21"/>
              </w:rPr>
              <w:t>有害生物监测预警、检疫防治、应急预案</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项</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1"/>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外来入侵物种清理</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项</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1"/>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绘制公园地质灾害分布图</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1"/>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地质灾害预防方案</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项</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2" w:hRule="atLeast"/>
        </w:trPr>
        <w:tc>
          <w:tcPr>
            <w:tcW w:w="854" w:type="dxa"/>
            <w:vAlign w:val="center"/>
          </w:tcPr>
          <w:p>
            <w:pPr>
              <w:pStyle w:val="45"/>
              <w:numPr>
                <w:ilvl w:val="0"/>
                <w:numId w:val="11"/>
              </w:numPr>
              <w:spacing w:line="360" w:lineRule="exact"/>
              <w:rPr>
                <w:rFonts w:eastAsia="仿宋" w:cs="Times New Roman"/>
                <w:sz w:val="21"/>
                <w:szCs w:val="21"/>
              </w:rPr>
            </w:pPr>
          </w:p>
        </w:tc>
        <w:tc>
          <w:tcPr>
            <w:tcW w:w="3406" w:type="dxa"/>
            <w:vAlign w:val="center"/>
          </w:tcPr>
          <w:p>
            <w:pPr>
              <w:pStyle w:val="45"/>
              <w:spacing w:line="240" w:lineRule="exact"/>
              <w:rPr>
                <w:rFonts w:eastAsia="仿宋" w:cs="Times New Roman"/>
                <w:sz w:val="21"/>
                <w:szCs w:val="21"/>
              </w:rPr>
            </w:pPr>
            <w:r>
              <w:rPr>
                <w:rFonts w:hint="eastAsia" w:eastAsia="仿宋" w:cs="Times New Roman"/>
                <w:sz w:val="21"/>
                <w:szCs w:val="21"/>
              </w:rPr>
              <w:t>建立地质灾害监测网络和预警信息系统</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项</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1"/>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宣传栏</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20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1"/>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宣传手册</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册</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3500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1"/>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消防车</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辆</w:t>
            </w:r>
          </w:p>
        </w:tc>
        <w:tc>
          <w:tcPr>
            <w:tcW w:w="1342" w:type="dxa"/>
            <w:vAlign w:val="center"/>
          </w:tcPr>
          <w:p>
            <w:pPr>
              <w:pStyle w:val="45"/>
              <w:spacing w:line="360" w:lineRule="exact"/>
              <w:rPr>
                <w:rFonts w:eastAsia="仿宋" w:cs="Times New Roman"/>
                <w:sz w:val="21"/>
                <w:szCs w:val="21"/>
              </w:rPr>
            </w:pPr>
            <w:r>
              <w:rPr>
                <w:rFonts w:hint="eastAsia"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1"/>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高压抽水机</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台</w:t>
            </w:r>
          </w:p>
        </w:tc>
        <w:tc>
          <w:tcPr>
            <w:tcW w:w="1342" w:type="dxa"/>
            <w:vAlign w:val="center"/>
          </w:tcPr>
          <w:p>
            <w:pPr>
              <w:pStyle w:val="45"/>
              <w:spacing w:line="360" w:lineRule="exact"/>
              <w:rPr>
                <w:rFonts w:eastAsia="仿宋" w:cs="Times New Roman"/>
                <w:sz w:val="21"/>
                <w:szCs w:val="21"/>
              </w:rPr>
            </w:pPr>
            <w:r>
              <w:rPr>
                <w:rFonts w:hint="eastAsia" w:eastAsia="仿宋" w:cs="Times New Roman"/>
                <w:sz w:val="21"/>
                <w:szCs w:val="21"/>
              </w:rPr>
              <w:t>3</w:t>
            </w:r>
            <w:r>
              <w:rPr>
                <w:rFonts w:eastAsia="仿宋" w:cs="Times New Roman"/>
                <w:sz w:val="21"/>
                <w:szCs w:val="21"/>
              </w:rPr>
              <w:t>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1"/>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无人机</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架</w:t>
            </w:r>
          </w:p>
        </w:tc>
        <w:tc>
          <w:tcPr>
            <w:tcW w:w="1342" w:type="dxa"/>
            <w:vAlign w:val="center"/>
          </w:tcPr>
          <w:p>
            <w:pPr>
              <w:pStyle w:val="45"/>
              <w:spacing w:line="360" w:lineRule="exact"/>
              <w:rPr>
                <w:rFonts w:eastAsia="仿宋" w:cs="Times New Roman"/>
                <w:sz w:val="21"/>
                <w:szCs w:val="21"/>
              </w:rPr>
            </w:pPr>
            <w:r>
              <w:rPr>
                <w:rFonts w:hint="eastAsia" w:eastAsia="仿宋" w:cs="Times New Roman"/>
                <w:sz w:val="21"/>
                <w:szCs w:val="21"/>
              </w:rPr>
              <w:t>2</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1"/>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消防服装</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套</w:t>
            </w:r>
          </w:p>
        </w:tc>
        <w:tc>
          <w:tcPr>
            <w:tcW w:w="1342" w:type="dxa"/>
            <w:vAlign w:val="center"/>
          </w:tcPr>
          <w:p>
            <w:pPr>
              <w:pStyle w:val="45"/>
              <w:spacing w:line="360" w:lineRule="exact"/>
              <w:rPr>
                <w:rFonts w:eastAsia="仿宋" w:cs="Times New Roman"/>
                <w:sz w:val="21"/>
                <w:szCs w:val="21"/>
              </w:rPr>
            </w:pPr>
            <w:r>
              <w:rPr>
                <w:rFonts w:hint="eastAsia" w:eastAsia="仿宋" w:cs="Times New Roman"/>
                <w:sz w:val="21"/>
                <w:szCs w:val="21"/>
              </w:rPr>
              <w:t>1</w:t>
            </w:r>
            <w:r>
              <w:rPr>
                <w:rFonts w:eastAsia="仿宋" w:cs="Times New Roman"/>
                <w:sz w:val="21"/>
                <w:szCs w:val="21"/>
              </w:rPr>
              <w:t>20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1"/>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扑火工具设备</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套</w:t>
            </w:r>
          </w:p>
        </w:tc>
        <w:tc>
          <w:tcPr>
            <w:tcW w:w="1342" w:type="dxa"/>
            <w:vAlign w:val="center"/>
          </w:tcPr>
          <w:p>
            <w:pPr>
              <w:pStyle w:val="45"/>
              <w:spacing w:line="360" w:lineRule="exact"/>
              <w:rPr>
                <w:rFonts w:eastAsia="仿宋" w:cs="Times New Roman"/>
                <w:sz w:val="21"/>
                <w:szCs w:val="21"/>
              </w:rPr>
            </w:pPr>
            <w:r>
              <w:rPr>
                <w:rFonts w:hint="eastAsia" w:eastAsia="仿宋" w:cs="Times New Roman"/>
                <w:sz w:val="21"/>
                <w:szCs w:val="21"/>
              </w:rPr>
              <w:t>5</w:t>
            </w:r>
            <w:r>
              <w:rPr>
                <w:rFonts w:eastAsia="仿宋" w:cs="Times New Roman"/>
                <w:sz w:val="21"/>
                <w:szCs w:val="21"/>
              </w:rPr>
              <w:t>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1"/>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防灭火蓄水池</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个</w:t>
            </w:r>
          </w:p>
        </w:tc>
        <w:tc>
          <w:tcPr>
            <w:tcW w:w="1342" w:type="dxa"/>
            <w:vAlign w:val="center"/>
          </w:tcPr>
          <w:p>
            <w:pPr>
              <w:pStyle w:val="45"/>
              <w:spacing w:line="360" w:lineRule="exact"/>
              <w:rPr>
                <w:rFonts w:eastAsia="仿宋" w:cs="Times New Roman"/>
                <w:sz w:val="21"/>
                <w:szCs w:val="21"/>
              </w:rPr>
            </w:pPr>
            <w:r>
              <w:rPr>
                <w:rFonts w:hint="eastAsia" w:eastAsia="仿宋" w:cs="Times New Roman"/>
                <w:sz w:val="21"/>
                <w:szCs w:val="21"/>
              </w:rPr>
              <w:t>5</w:t>
            </w:r>
            <w:r>
              <w:rPr>
                <w:rFonts w:eastAsia="仿宋" w:cs="Times New Roman"/>
                <w:sz w:val="21"/>
                <w:szCs w:val="21"/>
              </w:rPr>
              <w:t>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1"/>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防灭火隔离带</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千米</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200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1"/>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直升机停机坪</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个</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2" w:hRule="atLeast"/>
        </w:trPr>
        <w:tc>
          <w:tcPr>
            <w:tcW w:w="854" w:type="dxa"/>
            <w:vAlign w:val="center"/>
          </w:tcPr>
          <w:p>
            <w:pPr>
              <w:pStyle w:val="45"/>
              <w:numPr>
                <w:ilvl w:val="0"/>
                <w:numId w:val="11"/>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防火宣传牌</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1"/>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突发事件应急</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项</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1"/>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水上搜救船</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艘</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2</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1"/>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水上摩托艇</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艘</w:t>
            </w:r>
          </w:p>
        </w:tc>
        <w:tc>
          <w:tcPr>
            <w:tcW w:w="1342" w:type="dxa"/>
            <w:vAlign w:val="center"/>
          </w:tcPr>
          <w:p>
            <w:pPr>
              <w:pStyle w:val="45"/>
              <w:spacing w:line="360" w:lineRule="exact"/>
              <w:rPr>
                <w:rFonts w:eastAsia="仿宋" w:cs="Times New Roman"/>
                <w:sz w:val="21"/>
                <w:szCs w:val="21"/>
              </w:rPr>
            </w:pPr>
            <w:r>
              <w:rPr>
                <w:rFonts w:hint="eastAsia" w:eastAsia="仿宋" w:cs="Times New Roman"/>
                <w:sz w:val="21"/>
                <w:szCs w:val="21"/>
              </w:rPr>
              <w:t>4</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spacing w:line="360" w:lineRule="exact"/>
              <w:rPr>
                <w:rFonts w:eastAsia="仿宋" w:cs="Times New Roman"/>
                <w:sz w:val="21"/>
                <w:szCs w:val="21"/>
              </w:rPr>
            </w:pPr>
            <w:r>
              <w:rPr>
                <w:rFonts w:hint="eastAsia" w:eastAsia="仿宋" w:cs="Times New Roman"/>
                <w:sz w:val="21"/>
                <w:szCs w:val="21"/>
              </w:rPr>
              <w:t>（六）</w:t>
            </w: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基础工程规划</w:t>
            </w:r>
          </w:p>
        </w:tc>
        <w:tc>
          <w:tcPr>
            <w:tcW w:w="1134" w:type="dxa"/>
            <w:vAlign w:val="center"/>
          </w:tcPr>
          <w:p>
            <w:pPr>
              <w:pStyle w:val="45"/>
              <w:spacing w:line="360" w:lineRule="exact"/>
              <w:rPr>
                <w:rFonts w:eastAsia="仿宋" w:cs="Times New Roman"/>
                <w:sz w:val="21"/>
                <w:szCs w:val="21"/>
              </w:rPr>
            </w:pPr>
          </w:p>
        </w:tc>
        <w:tc>
          <w:tcPr>
            <w:tcW w:w="1342" w:type="dxa"/>
            <w:vAlign w:val="center"/>
          </w:tcPr>
          <w:p>
            <w:pPr>
              <w:pStyle w:val="45"/>
              <w:spacing w:line="360" w:lineRule="exact"/>
              <w:rPr>
                <w:rFonts w:eastAsia="仿宋" w:cs="Times New Roman"/>
                <w:sz w:val="21"/>
                <w:szCs w:val="21"/>
              </w:rPr>
            </w:pP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2"/>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巡护车道</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千米</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35</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2"/>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观光游步道</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千米</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200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2"/>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停车场</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平方米</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31600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2"/>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巡护码头</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座</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9</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2"/>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巡护越野车</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辆</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2</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2"/>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巡护电瓶车</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辆</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2"/>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巡护摩托车</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辆</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2"/>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巡护艇</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艘</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4</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2"/>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供电工程</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项</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13</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2"/>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给水工程</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项</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2"/>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排水工程</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项</w:t>
            </w:r>
          </w:p>
        </w:tc>
        <w:tc>
          <w:tcPr>
            <w:tcW w:w="1342" w:type="dxa"/>
            <w:vAlign w:val="center"/>
          </w:tcPr>
          <w:p>
            <w:pPr>
              <w:pStyle w:val="45"/>
              <w:spacing w:line="360" w:lineRule="exact"/>
              <w:rPr>
                <w:rFonts w:eastAsia="仿宋" w:cs="Times New Roman"/>
                <w:sz w:val="21"/>
                <w:szCs w:val="21"/>
              </w:rPr>
            </w:pPr>
            <w:r>
              <w:rPr>
                <w:rFonts w:hint="eastAsia" w:eastAsia="仿宋" w:cs="Times New Roman"/>
                <w:sz w:val="21"/>
                <w:szCs w:val="21"/>
              </w:rPr>
              <w:t>1</w:t>
            </w: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2"/>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固定电话</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台</w:t>
            </w:r>
          </w:p>
        </w:tc>
        <w:tc>
          <w:tcPr>
            <w:tcW w:w="1342" w:type="dxa"/>
            <w:vAlign w:val="center"/>
          </w:tcPr>
          <w:p>
            <w:pPr>
              <w:pStyle w:val="45"/>
              <w:spacing w:line="360" w:lineRule="exact"/>
              <w:rPr>
                <w:rFonts w:eastAsia="仿宋" w:cs="Times New Roman"/>
                <w:sz w:val="21"/>
                <w:szCs w:val="21"/>
              </w:rPr>
            </w:pPr>
            <w:r>
              <w:rPr>
                <w:rFonts w:hint="eastAsia" w:eastAsia="仿宋" w:cs="Times New Roman"/>
                <w:sz w:val="21"/>
                <w:szCs w:val="21"/>
              </w:rPr>
              <w:t>1</w:t>
            </w: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spacing w:line="360" w:lineRule="exact"/>
              <w:rPr>
                <w:rFonts w:eastAsia="仿宋" w:cs="Times New Roman"/>
                <w:sz w:val="21"/>
                <w:szCs w:val="21"/>
              </w:rPr>
            </w:pPr>
            <w:r>
              <w:rPr>
                <w:rFonts w:hint="eastAsia" w:eastAsia="仿宋" w:cs="Times New Roman"/>
                <w:sz w:val="21"/>
                <w:szCs w:val="21"/>
              </w:rPr>
              <w:t>（七）</w:t>
            </w: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管理规划</w:t>
            </w:r>
          </w:p>
        </w:tc>
        <w:tc>
          <w:tcPr>
            <w:tcW w:w="1134" w:type="dxa"/>
            <w:vAlign w:val="center"/>
          </w:tcPr>
          <w:p>
            <w:pPr>
              <w:pStyle w:val="45"/>
              <w:spacing w:line="360" w:lineRule="exact"/>
              <w:rPr>
                <w:rFonts w:eastAsia="仿宋" w:cs="Times New Roman"/>
                <w:sz w:val="21"/>
                <w:szCs w:val="21"/>
              </w:rPr>
            </w:pPr>
          </w:p>
        </w:tc>
        <w:tc>
          <w:tcPr>
            <w:tcW w:w="1342" w:type="dxa"/>
            <w:vAlign w:val="center"/>
          </w:tcPr>
          <w:p>
            <w:pPr>
              <w:pStyle w:val="45"/>
              <w:spacing w:line="360" w:lineRule="exact"/>
              <w:rPr>
                <w:rFonts w:eastAsia="仿宋" w:cs="Times New Roman"/>
                <w:sz w:val="21"/>
                <w:szCs w:val="21"/>
              </w:rPr>
            </w:pP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3"/>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湿地公园管理处</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平方米</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2000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3"/>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湿地公园管理处设备</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3"/>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湿地管理站</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平方米</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4000</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3"/>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湿地管理站设备</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4</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3"/>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管护用车</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辆</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4</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3"/>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管理用车</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辆</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4</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3"/>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基础数据库</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3"/>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数据库存储设备</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套</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3"/>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社区培训</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项</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1</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3"/>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渡轮码头</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座</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2</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3"/>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村路修缮</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千米</w:t>
            </w:r>
          </w:p>
        </w:tc>
        <w:tc>
          <w:tcPr>
            <w:tcW w:w="1342" w:type="dxa"/>
            <w:vAlign w:val="center"/>
          </w:tcPr>
          <w:p>
            <w:pPr>
              <w:pStyle w:val="45"/>
              <w:spacing w:line="360" w:lineRule="exact"/>
              <w:rPr>
                <w:rFonts w:eastAsia="仿宋" w:cs="Times New Roman"/>
                <w:sz w:val="21"/>
                <w:szCs w:val="21"/>
              </w:rPr>
            </w:pPr>
            <w:r>
              <w:rPr>
                <w:rFonts w:eastAsia="仿宋" w:cs="Times New Roman"/>
                <w:sz w:val="21"/>
                <w:szCs w:val="21"/>
              </w:rPr>
              <w:t>5</w:t>
            </w: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spacing w:line="360" w:lineRule="exact"/>
              <w:rPr>
                <w:rFonts w:eastAsia="仿宋" w:cs="Times New Roman"/>
                <w:sz w:val="21"/>
                <w:szCs w:val="21"/>
              </w:rPr>
            </w:pPr>
            <w:r>
              <w:rPr>
                <w:rFonts w:hint="eastAsia" w:eastAsia="仿宋" w:cs="Times New Roman"/>
                <w:sz w:val="21"/>
                <w:szCs w:val="21"/>
              </w:rPr>
              <w:t>四</w:t>
            </w: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建设投资</w:t>
            </w:r>
          </w:p>
        </w:tc>
        <w:tc>
          <w:tcPr>
            <w:tcW w:w="1134" w:type="dxa"/>
            <w:vAlign w:val="center"/>
          </w:tcPr>
          <w:p>
            <w:pPr>
              <w:pStyle w:val="45"/>
              <w:spacing w:line="360" w:lineRule="exact"/>
              <w:rPr>
                <w:rFonts w:eastAsia="仿宋" w:cs="Times New Roman"/>
                <w:sz w:val="21"/>
                <w:szCs w:val="21"/>
              </w:rPr>
            </w:pPr>
          </w:p>
        </w:tc>
        <w:tc>
          <w:tcPr>
            <w:tcW w:w="1342" w:type="dxa"/>
            <w:vAlign w:val="center"/>
          </w:tcPr>
          <w:p>
            <w:pPr>
              <w:pStyle w:val="45"/>
              <w:spacing w:line="360" w:lineRule="exact"/>
              <w:rPr>
                <w:rFonts w:eastAsia="仿宋" w:cs="Times New Roman"/>
                <w:sz w:val="21"/>
                <w:szCs w:val="21"/>
              </w:rPr>
            </w:pPr>
          </w:p>
        </w:tc>
        <w:tc>
          <w:tcPr>
            <w:tcW w:w="2025" w:type="dxa"/>
            <w:vAlign w:val="center"/>
          </w:tcPr>
          <w:p>
            <w:pPr>
              <w:pStyle w:val="45"/>
              <w:spacing w:line="360" w:lineRule="exact"/>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4"/>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近期投资</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万元</w:t>
            </w:r>
          </w:p>
        </w:tc>
        <w:tc>
          <w:tcPr>
            <w:tcW w:w="1342" w:type="dxa"/>
            <w:vAlign w:val="center"/>
          </w:tcPr>
          <w:p>
            <w:pPr>
              <w:pStyle w:val="45"/>
              <w:spacing w:line="360" w:lineRule="exact"/>
              <w:rPr>
                <w:rFonts w:eastAsia="仿宋" w:cs="Times New Roman"/>
                <w:kern w:val="0"/>
                <w:sz w:val="21"/>
                <w:szCs w:val="21"/>
              </w:rPr>
            </w:pPr>
            <w:r>
              <w:rPr>
                <w:rFonts w:eastAsia="仿宋" w:cs="Times New Roman"/>
                <w:sz w:val="21"/>
                <w:szCs w:val="21"/>
              </w:rPr>
              <w:t>29834.14</w:t>
            </w:r>
          </w:p>
        </w:tc>
        <w:tc>
          <w:tcPr>
            <w:tcW w:w="2025" w:type="dxa"/>
            <w:vAlign w:val="center"/>
          </w:tcPr>
          <w:p>
            <w:pPr>
              <w:pStyle w:val="45"/>
              <w:spacing w:line="360" w:lineRule="exact"/>
              <w:rPr>
                <w:rFonts w:eastAsia="仿宋" w:cs="Times New Roman"/>
                <w:sz w:val="21"/>
                <w:szCs w:val="21"/>
              </w:rPr>
            </w:pPr>
            <w:r>
              <w:rPr>
                <w:rFonts w:eastAsia="仿宋" w:cs="Times New Roman"/>
                <w:sz w:val="21"/>
                <w:szCs w:val="21"/>
              </w:rPr>
              <w:t>56.05%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54" w:type="dxa"/>
            <w:vAlign w:val="center"/>
          </w:tcPr>
          <w:p>
            <w:pPr>
              <w:pStyle w:val="45"/>
              <w:numPr>
                <w:ilvl w:val="0"/>
                <w:numId w:val="14"/>
              </w:numPr>
              <w:spacing w:line="360" w:lineRule="exact"/>
              <w:rPr>
                <w:rFonts w:eastAsia="仿宋" w:cs="Times New Roman"/>
                <w:sz w:val="21"/>
                <w:szCs w:val="21"/>
              </w:rPr>
            </w:pPr>
          </w:p>
        </w:tc>
        <w:tc>
          <w:tcPr>
            <w:tcW w:w="3406" w:type="dxa"/>
            <w:vAlign w:val="center"/>
          </w:tcPr>
          <w:p>
            <w:pPr>
              <w:pStyle w:val="45"/>
              <w:spacing w:line="360" w:lineRule="exact"/>
              <w:rPr>
                <w:rFonts w:eastAsia="仿宋" w:cs="Times New Roman"/>
                <w:sz w:val="21"/>
                <w:szCs w:val="21"/>
              </w:rPr>
            </w:pPr>
            <w:r>
              <w:rPr>
                <w:rFonts w:hint="eastAsia" w:eastAsia="仿宋" w:cs="Times New Roman"/>
                <w:sz w:val="21"/>
                <w:szCs w:val="21"/>
              </w:rPr>
              <w:t>远期投资</w:t>
            </w:r>
          </w:p>
        </w:tc>
        <w:tc>
          <w:tcPr>
            <w:tcW w:w="1134" w:type="dxa"/>
            <w:vAlign w:val="center"/>
          </w:tcPr>
          <w:p>
            <w:pPr>
              <w:pStyle w:val="45"/>
              <w:spacing w:line="360" w:lineRule="exact"/>
              <w:rPr>
                <w:rFonts w:eastAsia="仿宋" w:cs="Times New Roman"/>
                <w:sz w:val="21"/>
                <w:szCs w:val="21"/>
              </w:rPr>
            </w:pPr>
            <w:r>
              <w:rPr>
                <w:rFonts w:hint="eastAsia" w:eastAsia="仿宋" w:cs="Times New Roman"/>
                <w:sz w:val="21"/>
                <w:szCs w:val="21"/>
              </w:rPr>
              <w:t>万元</w:t>
            </w:r>
          </w:p>
        </w:tc>
        <w:tc>
          <w:tcPr>
            <w:tcW w:w="1342" w:type="dxa"/>
            <w:vAlign w:val="center"/>
          </w:tcPr>
          <w:p>
            <w:pPr>
              <w:pStyle w:val="45"/>
              <w:spacing w:line="360" w:lineRule="exact"/>
              <w:rPr>
                <w:rFonts w:eastAsia="仿宋" w:cs="Times New Roman"/>
                <w:kern w:val="0"/>
                <w:sz w:val="21"/>
                <w:szCs w:val="21"/>
              </w:rPr>
            </w:pPr>
            <w:r>
              <w:rPr>
                <w:rFonts w:eastAsia="仿宋" w:cs="Times New Roman"/>
                <w:sz w:val="21"/>
                <w:szCs w:val="21"/>
              </w:rPr>
              <w:t>23392.70</w:t>
            </w:r>
          </w:p>
        </w:tc>
        <w:tc>
          <w:tcPr>
            <w:tcW w:w="2025" w:type="dxa"/>
            <w:vAlign w:val="center"/>
          </w:tcPr>
          <w:p>
            <w:pPr>
              <w:pStyle w:val="45"/>
              <w:spacing w:line="360" w:lineRule="exact"/>
              <w:rPr>
                <w:rFonts w:eastAsia="仿宋" w:cs="Times New Roman"/>
                <w:sz w:val="21"/>
                <w:szCs w:val="21"/>
              </w:rPr>
            </w:pPr>
            <w:r>
              <w:rPr>
                <w:rFonts w:eastAsia="仿宋" w:cs="Times New Roman"/>
                <w:sz w:val="21"/>
                <w:szCs w:val="21"/>
              </w:rPr>
              <w:t>43.95%</w:t>
            </w:r>
          </w:p>
        </w:tc>
      </w:tr>
    </w:tbl>
    <w:p>
      <w:pPr>
        <w:pStyle w:val="4"/>
        <w:spacing w:after="395"/>
      </w:pPr>
      <w:bookmarkStart w:id="57" w:name="_Toc117114355"/>
      <w:bookmarkStart w:id="58" w:name="_Toc13202"/>
      <w:bookmarkStart w:id="59" w:name="_Toc113925692"/>
      <w:bookmarkStart w:id="60" w:name="_Toc22728"/>
      <w:bookmarkStart w:id="61" w:name="_Toc114084628"/>
      <w:bookmarkStart w:id="62" w:name="_Toc113925440"/>
      <w:r>
        <w:rPr>
          <w:rFonts w:hint="eastAsia"/>
        </w:rPr>
        <w:t>基本情况</w:t>
      </w:r>
      <w:bookmarkEnd w:id="57"/>
      <w:bookmarkEnd w:id="58"/>
      <w:bookmarkEnd w:id="59"/>
      <w:bookmarkEnd w:id="60"/>
      <w:bookmarkEnd w:id="61"/>
      <w:bookmarkEnd w:id="62"/>
    </w:p>
    <w:p>
      <w:pPr>
        <w:pStyle w:val="5"/>
        <w:spacing w:before="197"/>
      </w:pPr>
      <w:bookmarkStart w:id="63" w:name="_Toc113925693"/>
      <w:bookmarkStart w:id="64" w:name="_Toc117114356"/>
      <w:bookmarkStart w:id="65" w:name="_Toc113925441"/>
      <w:bookmarkStart w:id="66" w:name="_Toc25920"/>
      <w:bookmarkStart w:id="67" w:name="_Toc114084629"/>
      <w:bookmarkStart w:id="68" w:name="_Toc8278"/>
      <w:r>
        <w:rPr>
          <w:rFonts w:hint="eastAsia"/>
        </w:rPr>
        <w:t>地理位置和范围</w:t>
      </w:r>
      <w:bookmarkEnd w:id="63"/>
      <w:bookmarkEnd w:id="64"/>
      <w:bookmarkEnd w:id="65"/>
      <w:bookmarkEnd w:id="66"/>
      <w:bookmarkEnd w:id="67"/>
      <w:bookmarkEnd w:id="68"/>
    </w:p>
    <w:p>
      <w:pPr>
        <w:ind w:firstLine="560"/>
        <w:rPr>
          <w:rFonts w:cs="Times New Roman"/>
        </w:rPr>
      </w:pPr>
      <w:r>
        <w:rPr>
          <w:rFonts w:hint="eastAsia" w:cs="Times New Roman"/>
        </w:rPr>
        <w:t>湖南石门仙阳湖国家湿地公园地处石门县中部，自西北向东南跨经所街乡、雁池乡、磨市镇、维新镇、三圣乡、白云镇、皂市镇和新铺镇，主要包括仙阳湖、渫水及周边一定范围内的水源涵养林，东至新铺镇毛桃湾回水区及其周边第一层小山脊，南至皂市水库大坝，西北至所街乡芙岭峪村回水区。地理坐标为：东经110°54'21"～111°16'26"，北纬29°38'45"～29°48'22"，规划调整后总面积9386.58公顷，</w:t>
      </w:r>
      <w:r>
        <w:rPr>
          <w:rFonts w:hint="eastAsia" w:cs="Times New Roman"/>
          <w:szCs w:val="28"/>
          <w:lang w:bidi="ar"/>
        </w:rPr>
        <w:t>湿地面积</w:t>
      </w:r>
      <w:r>
        <w:rPr>
          <w:rFonts w:cs="Times New Roman"/>
          <w:szCs w:val="28"/>
          <w:lang w:bidi="ar"/>
        </w:rPr>
        <w:t>4899.81</w:t>
      </w:r>
      <w:r>
        <w:rPr>
          <w:rFonts w:hint="eastAsia" w:cs="Times New Roman"/>
          <w:szCs w:val="28"/>
          <w:lang w:bidi="ar"/>
        </w:rPr>
        <w:t>公顷</w:t>
      </w:r>
      <w:r>
        <w:rPr>
          <w:rFonts w:hint="eastAsia" w:cs="Times New Roman"/>
          <w:szCs w:val="28"/>
          <w:lang w:eastAsia="zh-CN" w:bidi="ar"/>
        </w:rPr>
        <w:t>，湿地率</w:t>
      </w:r>
      <w:r>
        <w:rPr>
          <w:rFonts w:hint="eastAsia" w:cs="Times New Roman"/>
          <w:szCs w:val="28"/>
          <w:lang w:val="en-US" w:eastAsia="zh-CN" w:bidi="ar"/>
        </w:rPr>
        <w:t>52.20%</w:t>
      </w:r>
      <w:r>
        <w:rPr>
          <w:rFonts w:hint="eastAsia" w:cs="Times New Roman"/>
          <w:szCs w:val="28"/>
          <w:lang w:bidi="ar"/>
        </w:rPr>
        <w:t>。</w:t>
      </w:r>
    </w:p>
    <w:p>
      <w:pPr>
        <w:ind w:firstLine="560"/>
        <w:rPr>
          <w:rFonts w:cs="Times New Roman"/>
        </w:rPr>
      </w:pPr>
      <w:r>
        <w:rPr>
          <w:rFonts w:hint="eastAsia" w:cs="Times New Roman"/>
        </w:rPr>
        <w:t>湿地公园范围涉及石门县8个乡镇的39个村。</w:t>
      </w:r>
    </w:p>
    <w:p>
      <w:pPr>
        <w:pStyle w:val="5"/>
        <w:spacing w:before="197"/>
      </w:pPr>
      <w:bookmarkStart w:id="69" w:name="_Toc114084630"/>
      <w:bookmarkStart w:id="70" w:name="_Toc3376"/>
      <w:bookmarkStart w:id="71" w:name="_Toc113925445"/>
      <w:bookmarkStart w:id="72" w:name="_Toc28193"/>
      <w:bookmarkStart w:id="73" w:name="_Toc113925697"/>
      <w:bookmarkStart w:id="74" w:name="_Toc117114357"/>
      <w:r>
        <w:rPr>
          <w:rFonts w:hint="eastAsia"/>
        </w:rPr>
        <w:t>自然地理条件</w:t>
      </w:r>
      <w:bookmarkEnd w:id="69"/>
      <w:bookmarkEnd w:id="70"/>
      <w:bookmarkEnd w:id="71"/>
      <w:bookmarkEnd w:id="72"/>
      <w:bookmarkEnd w:id="73"/>
      <w:bookmarkEnd w:id="74"/>
    </w:p>
    <w:p>
      <w:pPr>
        <w:pStyle w:val="6"/>
      </w:pPr>
      <w:bookmarkStart w:id="75" w:name="_Toc113925446"/>
      <w:bookmarkStart w:id="76" w:name="_Toc113925698"/>
      <w:r>
        <w:rPr>
          <w:rFonts w:hint="eastAsia"/>
        </w:rPr>
        <w:t>地质地貌</w:t>
      </w:r>
      <w:bookmarkEnd w:id="75"/>
      <w:bookmarkEnd w:id="76"/>
    </w:p>
    <w:p>
      <w:pPr>
        <w:ind w:firstLine="560"/>
        <w:rPr>
          <w:rFonts w:cs="Times New Roman"/>
          <w:szCs w:val="28"/>
        </w:rPr>
      </w:pPr>
      <w:r>
        <w:rPr>
          <w:rFonts w:hint="eastAsia" w:cs="Times New Roman"/>
          <w:szCs w:val="28"/>
        </w:rPr>
        <w:t>仙阳湖国家湿地公园所在的石门县地处武陵山脉向洞庭湖滨湖平原过渡带上，地貌大体轮廓为北阔南窄，呈倒“葫芦形”。西北部区域地势高峻，幅原辽阔，山原和岩溶地貌发育，山岭绵延，河谷纵深，地表起伏较大，山峰海拔在1000米以上者众多，壶瓶山主峰海拔2098.7米，有“湖南屋脊”之称；东南部区域地势平缓，地域狭长，丘岗错列，河流纵横，盆谷相嵌，多断块残山，丘岗面积大，最低处在易家渡镇蔡家溪与澧水汇合处，海拔42米。</w:t>
      </w:r>
    </w:p>
    <w:p>
      <w:pPr>
        <w:ind w:firstLine="560"/>
        <w:rPr>
          <w:rFonts w:cs="Times New Roman"/>
          <w:szCs w:val="28"/>
        </w:rPr>
      </w:pPr>
      <w:r>
        <w:rPr>
          <w:rFonts w:hint="eastAsia" w:cs="Times New Roman"/>
          <w:szCs w:val="28"/>
        </w:rPr>
        <w:t>石门县域从西北到东南，依山地、丘陵到平原逐渐过渡呈明显梯级递降地势，在1200米、1000米、800米、600米、300米五级间常见陡坡过渡形成。全县山原、山地、丘陵、冈地、平原五种地貌俱齐。湿地公园地貌以山原、山地为主。</w:t>
      </w:r>
    </w:p>
    <w:p>
      <w:pPr>
        <w:ind w:firstLine="0" w:firstLineChars="0"/>
        <w:jc w:val="center"/>
        <w:rPr>
          <w:rFonts w:ascii="黑体" w:hAnsi="黑体" w:eastAsia="黑体" w:cs="黑体"/>
          <w:sz w:val="24"/>
        </w:rPr>
      </w:pPr>
      <w:r>
        <w:rPr>
          <w:rFonts w:hint="eastAsia" w:ascii="黑体" w:hAnsi="黑体" w:eastAsia="黑体" w:cs="黑体"/>
          <w:sz w:val="24"/>
        </w:rPr>
        <w:drawing>
          <wp:anchor distT="0" distB="0" distL="114300" distR="114300" simplePos="0" relativeHeight="251660288" behindDoc="0" locked="0" layoutInCell="1" allowOverlap="1">
            <wp:simplePos x="0" y="0"/>
            <wp:positionH relativeFrom="column">
              <wp:posOffset>53975</wp:posOffset>
            </wp:positionH>
            <wp:positionV relativeFrom="paragraph">
              <wp:posOffset>113665</wp:posOffset>
            </wp:positionV>
            <wp:extent cx="5580380" cy="2672080"/>
            <wp:effectExtent l="0" t="0" r="1270" b="0"/>
            <wp:wrapTopAndBottom/>
            <wp:docPr id="1" name="图片 1" descr="C:\Users\Lenovo\AppData\Local\Temp\WeChat Files\c3efbaee675375750bb90607e201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Lenovo\AppData\Local\Temp\WeChat Files\c3efbaee675375750bb90607e201297.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580380" cy="2672080"/>
                    </a:xfrm>
                    <a:prstGeom prst="rect">
                      <a:avLst/>
                    </a:prstGeom>
                    <a:noFill/>
                    <a:ln>
                      <a:noFill/>
                    </a:ln>
                  </pic:spPr>
                </pic:pic>
              </a:graphicData>
            </a:graphic>
          </wp:anchor>
        </w:drawing>
      </w:r>
      <w:r>
        <w:rPr>
          <w:rFonts w:hint="eastAsia" w:ascii="黑体" w:hAnsi="黑体" w:eastAsia="黑体" w:cs="黑体"/>
          <w:sz w:val="24"/>
        </w:rPr>
        <w:t>图</w:t>
      </w:r>
      <w:r>
        <w:rPr>
          <w:rFonts w:eastAsia="黑体" w:cs="Times New Roman"/>
          <w:sz w:val="24"/>
        </w:rPr>
        <w:t>2-1</w:t>
      </w:r>
      <w:r>
        <w:rPr>
          <w:rFonts w:hint="eastAsia" w:ascii="黑体" w:hAnsi="黑体" w:eastAsia="黑体" w:cs="黑体"/>
          <w:sz w:val="24"/>
        </w:rPr>
        <w:t xml:space="preserve"> 仙阳湖国家湿地公园</w:t>
      </w:r>
    </w:p>
    <w:p>
      <w:pPr>
        <w:pStyle w:val="6"/>
      </w:pPr>
      <w:bookmarkStart w:id="77" w:name="_Toc113925699"/>
      <w:bookmarkStart w:id="78" w:name="_Toc113925447"/>
      <w:r>
        <w:rPr>
          <w:rFonts w:hint="eastAsia"/>
        </w:rPr>
        <w:t>水文条件</w:t>
      </w:r>
      <w:bookmarkEnd w:id="77"/>
      <w:bookmarkEnd w:id="78"/>
    </w:p>
    <w:p>
      <w:pPr>
        <w:ind w:firstLine="560"/>
        <w:rPr>
          <w:rFonts w:cs="Times New Roman"/>
          <w:szCs w:val="28"/>
        </w:rPr>
      </w:pPr>
      <w:r>
        <w:rPr>
          <w:rFonts w:hint="eastAsia" w:cs="Times New Roman"/>
          <w:szCs w:val="28"/>
        </w:rPr>
        <w:t>石门县水系发达、溪河密布，澧水、道水、洈水横贯，渫水纵注，呈树枝状展布。澧水流经县境近30公里，其一级支流渫水全长</w:t>
      </w:r>
      <w:r>
        <w:rPr>
          <w:rFonts w:cs="Times New Roman"/>
          <w:szCs w:val="28"/>
        </w:rPr>
        <w:t>148</w:t>
      </w:r>
      <w:r>
        <w:rPr>
          <w:rFonts w:hint="eastAsia" w:cs="Times New Roman"/>
          <w:szCs w:val="28"/>
        </w:rPr>
        <w:t>公里，流域面积达</w:t>
      </w:r>
      <w:r>
        <w:rPr>
          <w:rFonts w:cs="Times New Roman"/>
          <w:szCs w:val="28"/>
        </w:rPr>
        <w:t>3131</w:t>
      </w:r>
      <w:r>
        <w:rPr>
          <w:rFonts w:hint="eastAsia" w:cs="Times New Roman"/>
          <w:szCs w:val="28"/>
        </w:rPr>
        <w:t>平方公里。道水、洈水一级支流分别流经县境31.7公里和45.5公里。全县四级以上溪河共236条，其中干流1条，一级支流23条，二级支流67条，三级支流117条，四级支流28条。全县流域面积50平方公里以上的河流河段共35条，总长度974.69公里；其中流域面积100平方公里以上的河流河段共18条，长度为637.69公里；流域面积50～100平方公里的河流河段共17条，长度337公里，分属澧水、洞庭湖、沅水三大水系。全县多年平均地表径流量为41.86亿立方米，人平拥有水量6420立方米，高于全省及全国平均水平。</w:t>
      </w:r>
    </w:p>
    <w:p>
      <w:pPr>
        <w:ind w:firstLine="560"/>
        <w:rPr>
          <w:rFonts w:cs="Times New Roman"/>
          <w:szCs w:val="28"/>
        </w:rPr>
      </w:pPr>
      <w:r>
        <w:rPr>
          <w:rFonts w:hint="eastAsia" w:cs="Times New Roman"/>
          <w:szCs w:val="28"/>
        </w:rPr>
        <w:t>仙阳湖国家湿地公园位于洞庭湖水系的澧水流域，主要水系为渫水和仙阳湖（皂市水库）。</w:t>
      </w:r>
    </w:p>
    <w:p>
      <w:pPr>
        <w:ind w:firstLine="560"/>
        <w:rPr>
          <w:rFonts w:cs="Times New Roman"/>
          <w:szCs w:val="28"/>
        </w:rPr>
      </w:pPr>
      <w:r>
        <w:rPr>
          <w:rFonts w:hint="eastAsia" w:cs="Times New Roman"/>
          <w:szCs w:val="28"/>
        </w:rPr>
        <w:t>（1）渫水</w:t>
      </w:r>
    </w:p>
    <w:p>
      <w:pPr>
        <w:ind w:firstLine="560"/>
        <w:rPr>
          <w:rFonts w:cs="Times New Roman"/>
          <w:szCs w:val="28"/>
        </w:rPr>
      </w:pPr>
      <w:r>
        <w:rPr>
          <w:rFonts w:hint="eastAsia" w:cs="Times New Roman"/>
          <w:szCs w:val="28"/>
        </w:rPr>
        <w:t>渫水为九澧之一，是澧水第二大支流，因上中游地处高山峡谷，河床多系岩石，漏石分沙，水流清澈，长波浃渫，故名渫水。</w:t>
      </w:r>
    </w:p>
    <w:p>
      <w:pPr>
        <w:ind w:firstLine="560"/>
        <w:rPr>
          <w:rFonts w:cs="Times New Roman"/>
          <w:szCs w:val="28"/>
        </w:rPr>
      </w:pPr>
      <w:r>
        <w:rPr>
          <w:rFonts w:hint="eastAsia" w:cs="Times New Roman"/>
          <w:szCs w:val="28"/>
        </w:rPr>
        <w:t>渫水有南、中、北三源。北源出湖北省五峰县南香日坪农场北面的天心桥，往东南流至本县壶瓶山镇雷打岩入县境，称北溪河。北溪河又西南流纳入支流鄢家河后至江码桥入江坪河。北溪河流程38.1公里，流域面积204平方公里。全流域在壶瓶山镇江坪河管理区境内。中源出壶瓶山镇江坪河管理区泉坪村西面的高家界，称高桥河。南源分南、北两支。南支名前河，源于南北镇碑牌垭北麓，先后并若干溪流，久晴干涸，仅出口一段有较深层地下水供给，常年不断流，经穿石湾，到两河口汇入金家河，流程10公里。北支名后河，总流程21公里，发源于鹤峰牛鼻孔，于壶瓶山镇江坪河管理区泉坪村西部顶坪山南麓，曾家湾以北，往西南流入湖北境内，至钟家大坡转东南流至下洞坪西南进入落水洞，潜入地下成为阴河，从而形成断头的“盲谷”，水流在地下潜行约2公里，复进入湖南，石门境内从而形成“龙门出水”的奇异景观，下流8.5公里到金河村两河口与前河汇合后称金家河。金家河转向北流至石南山与卿家小河汇合后称失妻河。失妻河继续北流至梯儿岩桥附近与渫水中源高桥河汇合后，东流出龙洞峡，进入江坪河谷地。三源中以南源后河龙门出水的水量最大，因此是渫水源头的主要河流。</w:t>
      </w:r>
    </w:p>
    <w:p>
      <w:pPr>
        <w:ind w:firstLine="560"/>
        <w:rPr>
          <w:rFonts w:cs="Times New Roman"/>
          <w:szCs w:val="28"/>
        </w:rPr>
      </w:pPr>
      <w:r>
        <w:rPr>
          <w:rFonts w:hint="eastAsia" w:cs="Times New Roman"/>
          <w:szCs w:val="28"/>
        </w:rPr>
        <w:t>渫水在石门县境流程153.7公里，流域面积</w:t>
      </w:r>
      <w:r>
        <w:rPr>
          <w:rFonts w:cs="Times New Roman"/>
          <w:szCs w:val="28"/>
        </w:rPr>
        <w:t>2872.4</w:t>
      </w:r>
      <w:r>
        <w:rPr>
          <w:rFonts w:hint="eastAsia" w:cs="Times New Roman"/>
          <w:szCs w:val="28"/>
        </w:rPr>
        <w:t>平方公里，干流坡降1.48‰，总落差1400米。流域内地势西北高耸而东南渐低，支流也多自西北向东南呈树枝状展布，河系密度大体为0.17公里/平方公里（仅统计一级支流）。流域面积大于50平方公里的支流有12条，其流域面积约占全流域面积的50%。较大支流有黄虎港河、石家河、竹溪河、商溪河、仙阳河，其中仙阳河为渫水最大支流。</w:t>
      </w:r>
    </w:p>
    <w:p>
      <w:pPr>
        <w:ind w:firstLine="560"/>
        <w:rPr>
          <w:rFonts w:cs="Times New Roman"/>
          <w:szCs w:val="28"/>
        </w:rPr>
      </w:pPr>
      <w:r>
        <w:rPr>
          <w:rFonts w:hint="eastAsia" w:cs="Times New Roman"/>
          <w:szCs w:val="28"/>
        </w:rPr>
        <w:t>（2）仙阳湖（皂市水库）</w:t>
      </w:r>
    </w:p>
    <w:p>
      <w:pPr>
        <w:ind w:firstLine="560"/>
        <w:rPr>
          <w:rFonts w:cs="Times New Roman"/>
          <w:szCs w:val="28"/>
        </w:rPr>
      </w:pPr>
      <w:r>
        <w:rPr>
          <w:rFonts w:hint="eastAsia" w:cs="Times New Roman"/>
          <w:szCs w:val="28"/>
        </w:rPr>
        <w:t>仙阳湖属国家重点工程，位于洞庭湖水系澧水支流渫水下游，该区域处于长江流域最大的五峰、鹤峰暴雨区，洪水汇集迅速，峰高势猛，致使澧水流域特别是中下游地区洪涝灾害频繁，对该地区人民群众的生命财产安全造成极大的威胁，制约了当地社会经济的发展，防洪问题十分突出。为了提高仙阳湖下游松澧地区防洪标准，减轻澧水尾闾地区的洪水灾害和西洞庭湖的防洪压力。</w:t>
      </w:r>
      <w:r>
        <w:rPr>
          <w:rFonts w:cs="Times New Roman"/>
          <w:szCs w:val="28"/>
        </w:rPr>
        <w:t>2004</w:t>
      </w:r>
      <w:r>
        <w:rPr>
          <w:rFonts w:hint="eastAsia" w:cs="Times New Roman"/>
          <w:szCs w:val="28"/>
        </w:rPr>
        <w:t>年国家正式兴建皂市水库水利枢纽工程，2007年开始蓄水发电，坝址距石门县城19公里。该工程以防汛为主，兼有发电、灌溉、航运、旅游等综合效益，总投资32.5亿元。</w:t>
      </w:r>
    </w:p>
    <w:p>
      <w:pPr>
        <w:ind w:firstLine="560"/>
        <w:rPr>
          <w:rFonts w:cs="Times New Roman"/>
          <w:szCs w:val="28"/>
        </w:rPr>
      </w:pPr>
      <w:r>
        <w:rPr>
          <w:rFonts w:hint="eastAsia" w:cs="Times New Roman"/>
          <w:szCs w:val="28"/>
        </w:rPr>
        <w:t>皂市水库干流回流长</w:t>
      </w:r>
      <w:r>
        <w:rPr>
          <w:rFonts w:cs="Times New Roman"/>
          <w:szCs w:val="28"/>
        </w:rPr>
        <w:t>55</w:t>
      </w:r>
      <w:r>
        <w:rPr>
          <w:rFonts w:hint="eastAsia" w:cs="Times New Roman"/>
          <w:szCs w:val="28"/>
        </w:rPr>
        <w:t>公里，主要支流长15.2公里，控制流域面积近3000平方公里，占渫水总流域面积的93.7%。水面幅员面积约54平方公里，总库容为14.4亿立方米，防洪库容7.8亿立方米，正常蓄水位140米，死水位112米，汛期限制水位125米，多年平均最高水位141米。大坝轴线全长341米，坝顶高程148米，最大坝高88米，电站装机12万千瓦，年发电量3.33亿度。</w:t>
      </w:r>
    </w:p>
    <w:p>
      <w:pPr>
        <w:ind w:firstLine="0" w:firstLineChars="0"/>
        <w:jc w:val="center"/>
        <w:rPr>
          <w:rFonts w:cs="Times New Roman"/>
          <w:szCs w:val="28"/>
        </w:rPr>
      </w:pPr>
      <w:r>
        <w:rPr>
          <w:rFonts w:hint="eastAsia" w:cs="Times New Roman"/>
          <w:szCs w:val="28"/>
        </w:rPr>
        <w:drawing>
          <wp:inline distT="0" distB="0" distL="114300" distR="114300">
            <wp:extent cx="5160010" cy="2560320"/>
            <wp:effectExtent l="0" t="0" r="2540" b="11430"/>
            <wp:docPr id="5" name="图片 5" descr="86e2376cfc0b476a812320c8790d69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86e2376cfc0b476a812320c8790d69c9"/>
                    <pic:cNvPicPr>
                      <a:picLocks noChangeAspect="1"/>
                    </pic:cNvPicPr>
                  </pic:nvPicPr>
                  <pic:blipFill>
                    <a:blip r:embed="rId17"/>
                    <a:stretch>
                      <a:fillRect/>
                    </a:stretch>
                  </pic:blipFill>
                  <pic:spPr>
                    <a:xfrm>
                      <a:off x="0" y="0"/>
                      <a:ext cx="5160010" cy="2560320"/>
                    </a:xfrm>
                    <a:prstGeom prst="rect">
                      <a:avLst/>
                    </a:prstGeom>
                  </pic:spPr>
                </pic:pic>
              </a:graphicData>
            </a:graphic>
          </wp:inline>
        </w:drawing>
      </w:r>
    </w:p>
    <w:p>
      <w:pPr>
        <w:ind w:firstLine="0" w:firstLineChars="0"/>
        <w:jc w:val="center"/>
        <w:rPr>
          <w:rFonts w:cs="Times New Roman"/>
          <w:szCs w:val="28"/>
        </w:rPr>
      </w:pPr>
      <w:r>
        <w:rPr>
          <w:rFonts w:hint="eastAsia" w:ascii="黑体" w:hAnsi="黑体" w:eastAsia="黑体" w:cs="黑体"/>
          <w:sz w:val="24"/>
        </w:rPr>
        <w:t>图</w:t>
      </w:r>
      <w:r>
        <w:rPr>
          <w:rFonts w:eastAsia="黑体" w:cs="Times New Roman"/>
          <w:sz w:val="24"/>
        </w:rPr>
        <w:t>2-</w:t>
      </w:r>
      <w:r>
        <w:rPr>
          <w:rFonts w:hint="eastAsia" w:eastAsia="黑体" w:cs="Times New Roman"/>
          <w:sz w:val="24"/>
        </w:rPr>
        <w:t>2</w:t>
      </w:r>
      <w:r>
        <w:rPr>
          <w:rFonts w:hint="eastAsia" w:ascii="黑体" w:hAnsi="黑体" w:eastAsia="黑体" w:cs="黑体"/>
          <w:sz w:val="24"/>
        </w:rPr>
        <w:t xml:space="preserve"> 皂市水库</w:t>
      </w:r>
    </w:p>
    <w:p>
      <w:pPr>
        <w:pStyle w:val="6"/>
        <w:keepNext w:val="0"/>
      </w:pPr>
      <w:bookmarkStart w:id="79" w:name="_Toc113925700"/>
      <w:bookmarkStart w:id="80" w:name="_Toc113925448"/>
      <w:r>
        <w:rPr>
          <w:rFonts w:hint="eastAsia"/>
        </w:rPr>
        <w:t>水质状况</w:t>
      </w:r>
      <w:bookmarkEnd w:id="79"/>
      <w:bookmarkEnd w:id="80"/>
    </w:p>
    <w:p>
      <w:pPr>
        <w:ind w:firstLine="560"/>
        <w:rPr>
          <w:rFonts w:cs="Times New Roman"/>
          <w:szCs w:val="28"/>
        </w:rPr>
      </w:pPr>
      <w:r>
        <w:rPr>
          <w:rFonts w:hint="eastAsia" w:cs="Times New Roman"/>
          <w:szCs w:val="28"/>
        </w:rPr>
        <w:t>根据常德市生态环境局石门分局提供的《石门县环境质量月报》，2</w:t>
      </w:r>
      <w:r>
        <w:rPr>
          <w:rFonts w:cs="Times New Roman"/>
          <w:szCs w:val="28"/>
        </w:rPr>
        <w:t>022</w:t>
      </w:r>
      <w:r>
        <w:rPr>
          <w:rFonts w:hint="eastAsia" w:cs="Times New Roman"/>
          <w:szCs w:val="28"/>
        </w:rPr>
        <w:t>年3月，湿地公园范围内的渫水监测断面水质监测结果表明，湿地公园内水体水质达到了《地表水环境质量标准》</w:t>
      </w:r>
      <w:r>
        <w:rPr>
          <w:rFonts w:cs="Times New Roman"/>
          <w:szCs w:val="28"/>
        </w:rPr>
        <w:t>Ⅱ</w:t>
      </w:r>
      <w:r>
        <w:rPr>
          <w:rFonts w:hint="eastAsia" w:cs="Times New Roman"/>
          <w:szCs w:val="28"/>
        </w:rPr>
        <w:t>级标准，所有监测指标均未超标，说明了湿地公园内水体水质良好。详见下表2-1。</w:t>
      </w:r>
    </w:p>
    <w:p>
      <w:pPr>
        <w:pStyle w:val="14"/>
        <w:spacing w:before="197" w:after="0" w:afterLines="0"/>
        <w:rPr>
          <w:rFonts w:ascii="黑体" w:hAnsi="黑体" w:cs="黑体"/>
          <w:sz w:val="24"/>
          <w:szCs w:val="24"/>
        </w:rPr>
      </w:pPr>
      <w:r>
        <w:rPr>
          <w:rFonts w:hint="eastAsia" w:ascii="黑体" w:hAnsi="黑体" w:cs="黑体"/>
          <w:sz w:val="24"/>
          <w:szCs w:val="24"/>
        </w:rPr>
        <w:t>湖南石门仙阳湖国家湿地公园水质监测统计表</w:t>
      </w:r>
    </w:p>
    <w:p>
      <w:pPr>
        <w:widowControl/>
        <w:spacing w:line="240" w:lineRule="auto"/>
        <w:ind w:firstLine="0" w:firstLineChars="0"/>
        <w:jc w:val="left"/>
        <w:rPr>
          <w:rFonts w:cs="Times New Roman"/>
          <w:sz w:val="21"/>
          <w:szCs w:val="21"/>
        </w:rPr>
      </w:pPr>
      <w:r>
        <w:rPr>
          <w:rFonts w:hint="eastAsia" w:ascii="黑体" w:hAnsi="黑体" w:eastAsia="黑体" w:cs="黑体"/>
          <w:sz w:val="21"/>
          <w:szCs w:val="21"/>
        </w:rPr>
        <w:t>表</w:t>
      </w:r>
      <w:r>
        <w:rPr>
          <w:rFonts w:cs="Times New Roman"/>
          <w:color w:val="000000"/>
          <w:kern w:val="0"/>
          <w:sz w:val="21"/>
          <w:szCs w:val="21"/>
          <w:lang w:bidi="ar"/>
        </w:rPr>
        <w:t xml:space="preserve">2-1 </w:t>
      </w:r>
    </w:p>
    <w:tbl>
      <w:tblPr>
        <w:tblStyle w:val="33"/>
        <w:tblW w:w="88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4"/>
        <w:gridCol w:w="3187"/>
        <w:gridCol w:w="1400"/>
        <w:gridCol w:w="1650"/>
        <w:gridCol w:w="16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964" w:type="dxa"/>
            <w:vAlign w:val="center"/>
          </w:tcPr>
          <w:p>
            <w:pPr>
              <w:pStyle w:val="44"/>
              <w:rPr>
                <w:rFonts w:eastAsia="仿宋" w:cs="Times New Roman"/>
                <w:szCs w:val="21"/>
              </w:rPr>
            </w:pPr>
            <w:r>
              <w:rPr>
                <w:rFonts w:hint="eastAsia" w:eastAsia="仿宋" w:cs="Times New Roman"/>
                <w:szCs w:val="21"/>
              </w:rPr>
              <w:t>序号</w:t>
            </w:r>
          </w:p>
        </w:tc>
        <w:tc>
          <w:tcPr>
            <w:tcW w:w="3187" w:type="dxa"/>
            <w:vAlign w:val="center"/>
          </w:tcPr>
          <w:p>
            <w:pPr>
              <w:pStyle w:val="44"/>
              <w:rPr>
                <w:rFonts w:eastAsia="仿宋" w:cs="Times New Roman"/>
                <w:szCs w:val="21"/>
              </w:rPr>
            </w:pPr>
            <w:r>
              <w:rPr>
                <w:rFonts w:hint="eastAsia" w:eastAsia="仿宋" w:cs="Times New Roman"/>
                <w:szCs w:val="21"/>
              </w:rPr>
              <w:t>监测项目</w:t>
            </w:r>
          </w:p>
        </w:tc>
        <w:tc>
          <w:tcPr>
            <w:tcW w:w="1400" w:type="dxa"/>
            <w:vAlign w:val="center"/>
          </w:tcPr>
          <w:p>
            <w:pPr>
              <w:pStyle w:val="44"/>
              <w:rPr>
                <w:rFonts w:eastAsia="仿宋" w:cs="Times New Roman"/>
                <w:szCs w:val="21"/>
              </w:rPr>
            </w:pPr>
            <w:r>
              <w:rPr>
                <w:rFonts w:hint="eastAsia" w:eastAsia="仿宋" w:cs="Times New Roman"/>
                <w:szCs w:val="21"/>
              </w:rPr>
              <w:t>单位</w:t>
            </w:r>
          </w:p>
        </w:tc>
        <w:tc>
          <w:tcPr>
            <w:tcW w:w="1650" w:type="dxa"/>
            <w:vAlign w:val="center"/>
          </w:tcPr>
          <w:p>
            <w:pPr>
              <w:pStyle w:val="44"/>
              <w:rPr>
                <w:rFonts w:eastAsia="仿宋" w:cs="Times New Roman"/>
                <w:szCs w:val="21"/>
              </w:rPr>
            </w:pPr>
            <w:r>
              <w:rPr>
                <w:rFonts w:hint="eastAsia" w:eastAsia="仿宋" w:cs="Times New Roman"/>
                <w:szCs w:val="21"/>
              </w:rPr>
              <w:t>监测结果</w:t>
            </w:r>
          </w:p>
        </w:tc>
        <w:tc>
          <w:tcPr>
            <w:tcW w:w="1646" w:type="dxa"/>
            <w:vAlign w:val="center"/>
          </w:tcPr>
          <w:p>
            <w:pPr>
              <w:pStyle w:val="44"/>
              <w:rPr>
                <w:rFonts w:eastAsia="仿宋" w:cs="Times New Roman"/>
                <w:szCs w:val="21"/>
              </w:rPr>
            </w:pPr>
            <w:r>
              <w:rPr>
                <w:rFonts w:hint="eastAsia" w:eastAsia="仿宋" w:cs="Times New Roman"/>
                <w:szCs w:val="21"/>
              </w:rPr>
              <w:t>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水温</w:t>
            </w:r>
          </w:p>
        </w:tc>
        <w:tc>
          <w:tcPr>
            <w:tcW w:w="1400" w:type="dxa"/>
            <w:vAlign w:val="center"/>
          </w:tcPr>
          <w:p>
            <w:pPr>
              <w:spacing w:line="240" w:lineRule="auto"/>
              <w:ind w:firstLine="0" w:firstLineChars="0"/>
              <w:jc w:val="center"/>
              <w:rPr>
                <w:rFonts w:cs="Times New Roman"/>
                <w:sz w:val="21"/>
                <w:szCs w:val="21"/>
              </w:rPr>
            </w:pPr>
            <w:r>
              <w:rPr>
                <w:rFonts w:hint="eastAsia" w:cs="Times New Roman"/>
                <w:sz w:val="21"/>
                <w:szCs w:val="21"/>
              </w:rPr>
              <w:t>℃</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cs="Times New Roman"/>
                <w:sz w:val="21"/>
                <w:szCs w:val="21"/>
              </w:rPr>
              <w:t>pH</w:t>
            </w:r>
          </w:p>
        </w:tc>
        <w:tc>
          <w:tcPr>
            <w:tcW w:w="1400" w:type="dxa"/>
            <w:vAlign w:val="center"/>
          </w:tcPr>
          <w:p>
            <w:pPr>
              <w:spacing w:line="240" w:lineRule="auto"/>
              <w:ind w:firstLine="0" w:firstLineChars="0"/>
              <w:jc w:val="center"/>
              <w:rPr>
                <w:rFonts w:cs="Times New Roman"/>
                <w:sz w:val="21"/>
                <w:szCs w:val="21"/>
              </w:rPr>
            </w:pPr>
            <w:r>
              <w:rPr>
                <w:rFonts w:cs="Times New Roman"/>
                <w:sz w:val="21"/>
                <w:szCs w:val="21"/>
              </w:rPr>
              <w:t>-</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8</w:t>
            </w:r>
          </w:p>
        </w:tc>
        <w:tc>
          <w:tcPr>
            <w:tcW w:w="1646" w:type="dxa"/>
            <w:vAlign w:val="center"/>
          </w:tcPr>
          <w:p>
            <w:pPr>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电导率</w:t>
            </w:r>
          </w:p>
        </w:tc>
        <w:tc>
          <w:tcPr>
            <w:tcW w:w="1400" w:type="dxa"/>
            <w:vAlign w:val="center"/>
          </w:tcPr>
          <w:p>
            <w:pPr>
              <w:spacing w:line="240" w:lineRule="auto"/>
              <w:ind w:firstLine="0" w:firstLineChars="0"/>
              <w:jc w:val="center"/>
              <w:rPr>
                <w:rFonts w:cs="Times New Roman"/>
                <w:sz w:val="21"/>
                <w:szCs w:val="21"/>
              </w:rPr>
            </w:pPr>
            <w:r>
              <w:rPr>
                <w:rFonts w:cs="Times New Roman"/>
                <w:sz w:val="21"/>
                <w:szCs w:val="21"/>
              </w:rPr>
              <w:t>ms/m</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溶解氧</w:t>
            </w:r>
          </w:p>
        </w:tc>
        <w:tc>
          <w:tcPr>
            <w:tcW w:w="1400" w:type="dxa"/>
            <w:vAlign w:val="center"/>
          </w:tcPr>
          <w:p>
            <w:pPr>
              <w:spacing w:line="240" w:lineRule="auto"/>
              <w:ind w:firstLine="0" w:firstLineChars="0"/>
              <w:jc w:val="center"/>
              <w:rPr>
                <w:rFonts w:cs="Times New Roman"/>
                <w:sz w:val="21"/>
                <w:szCs w:val="21"/>
              </w:rPr>
            </w:pPr>
            <w:r>
              <w:rPr>
                <w:rFonts w:cs="Times New Roman"/>
                <w:sz w:val="21"/>
                <w:szCs w:val="21"/>
              </w:rPr>
              <w:t>mg/L</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8.5</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高锰酸钾指数</w:t>
            </w:r>
          </w:p>
        </w:tc>
        <w:tc>
          <w:tcPr>
            <w:tcW w:w="1400" w:type="dxa"/>
            <w:vAlign w:val="center"/>
          </w:tcPr>
          <w:p>
            <w:pPr>
              <w:spacing w:line="240" w:lineRule="auto"/>
              <w:ind w:firstLine="0" w:firstLineChars="0"/>
              <w:jc w:val="center"/>
              <w:rPr>
                <w:rFonts w:cs="Times New Roman"/>
                <w:sz w:val="21"/>
                <w:szCs w:val="21"/>
              </w:rPr>
            </w:pPr>
            <w:r>
              <w:rPr>
                <w:rFonts w:cs="Times New Roman"/>
                <w:sz w:val="21"/>
                <w:szCs w:val="21"/>
              </w:rPr>
              <w:t>mg/L</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1.4</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化学需氧量</w:t>
            </w:r>
          </w:p>
        </w:tc>
        <w:tc>
          <w:tcPr>
            <w:tcW w:w="1400" w:type="dxa"/>
            <w:vAlign w:val="center"/>
          </w:tcPr>
          <w:p>
            <w:pPr>
              <w:spacing w:line="240" w:lineRule="auto"/>
              <w:ind w:firstLine="0" w:firstLineChars="0"/>
              <w:jc w:val="center"/>
              <w:rPr>
                <w:rFonts w:cs="Times New Roman"/>
                <w:sz w:val="21"/>
                <w:szCs w:val="21"/>
              </w:rPr>
            </w:pPr>
            <w:r>
              <w:rPr>
                <w:rFonts w:cs="Times New Roman"/>
                <w:sz w:val="21"/>
                <w:szCs w:val="21"/>
              </w:rPr>
              <w:t>mg/L</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2</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五日生化需氧量</w:t>
            </w:r>
          </w:p>
        </w:tc>
        <w:tc>
          <w:tcPr>
            <w:tcW w:w="1400" w:type="dxa"/>
            <w:vAlign w:val="center"/>
          </w:tcPr>
          <w:p>
            <w:pPr>
              <w:spacing w:line="240" w:lineRule="auto"/>
              <w:ind w:firstLine="0" w:firstLineChars="0"/>
              <w:jc w:val="center"/>
              <w:rPr>
                <w:rFonts w:cs="Times New Roman"/>
                <w:sz w:val="21"/>
                <w:szCs w:val="21"/>
              </w:rPr>
            </w:pPr>
            <w:r>
              <w:rPr>
                <w:rFonts w:cs="Times New Roman"/>
                <w:sz w:val="21"/>
                <w:szCs w:val="21"/>
              </w:rPr>
              <w:t>mg/L</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0.2</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氨氮</w:t>
            </w:r>
          </w:p>
        </w:tc>
        <w:tc>
          <w:tcPr>
            <w:tcW w:w="1400" w:type="dxa"/>
            <w:vAlign w:val="center"/>
          </w:tcPr>
          <w:p>
            <w:pPr>
              <w:spacing w:line="240" w:lineRule="auto"/>
              <w:ind w:firstLine="0" w:firstLineChars="0"/>
              <w:jc w:val="center"/>
              <w:rPr>
                <w:rFonts w:cs="Times New Roman"/>
                <w:sz w:val="21"/>
                <w:szCs w:val="21"/>
              </w:rPr>
            </w:pPr>
            <w:r>
              <w:rPr>
                <w:rFonts w:cs="Times New Roman"/>
                <w:sz w:val="21"/>
                <w:szCs w:val="21"/>
              </w:rPr>
              <w:t>mg/L</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0.13</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总磷</w:t>
            </w:r>
          </w:p>
        </w:tc>
        <w:tc>
          <w:tcPr>
            <w:tcW w:w="1400" w:type="dxa"/>
            <w:vAlign w:val="center"/>
          </w:tcPr>
          <w:p>
            <w:pPr>
              <w:spacing w:line="240" w:lineRule="auto"/>
              <w:ind w:firstLine="0" w:firstLineChars="0"/>
              <w:jc w:val="center"/>
              <w:rPr>
                <w:rFonts w:cs="Times New Roman"/>
                <w:sz w:val="21"/>
                <w:szCs w:val="21"/>
              </w:rPr>
            </w:pPr>
            <w:r>
              <w:rPr>
                <w:rFonts w:cs="Times New Roman"/>
                <w:sz w:val="21"/>
                <w:szCs w:val="21"/>
              </w:rPr>
              <w:t>mg/L</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0.012</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总氮</w:t>
            </w:r>
          </w:p>
        </w:tc>
        <w:tc>
          <w:tcPr>
            <w:tcW w:w="1400" w:type="dxa"/>
            <w:vAlign w:val="center"/>
          </w:tcPr>
          <w:p>
            <w:pPr>
              <w:spacing w:line="240" w:lineRule="auto"/>
              <w:ind w:firstLine="0" w:firstLineChars="0"/>
              <w:jc w:val="center"/>
              <w:rPr>
                <w:rFonts w:cs="Times New Roman"/>
                <w:sz w:val="21"/>
                <w:szCs w:val="21"/>
              </w:rPr>
            </w:pPr>
            <w:r>
              <w:rPr>
                <w:rFonts w:cs="Times New Roman"/>
                <w:sz w:val="21"/>
                <w:szCs w:val="21"/>
              </w:rPr>
              <w:t>mg/L</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0.60</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铜</w:t>
            </w:r>
          </w:p>
        </w:tc>
        <w:tc>
          <w:tcPr>
            <w:tcW w:w="1400" w:type="dxa"/>
            <w:vAlign w:val="center"/>
          </w:tcPr>
          <w:p>
            <w:pPr>
              <w:spacing w:line="240" w:lineRule="auto"/>
              <w:ind w:firstLine="0" w:firstLineChars="0"/>
              <w:jc w:val="center"/>
              <w:rPr>
                <w:rFonts w:cs="Times New Roman"/>
                <w:sz w:val="21"/>
                <w:szCs w:val="21"/>
              </w:rPr>
            </w:pPr>
            <w:r>
              <w:rPr>
                <w:rFonts w:cs="Times New Roman"/>
                <w:sz w:val="21"/>
                <w:szCs w:val="21"/>
              </w:rPr>
              <w:t>mg/L</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0.00010</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锌</w:t>
            </w:r>
          </w:p>
        </w:tc>
        <w:tc>
          <w:tcPr>
            <w:tcW w:w="1400" w:type="dxa"/>
            <w:vAlign w:val="center"/>
          </w:tcPr>
          <w:p>
            <w:pPr>
              <w:spacing w:line="240" w:lineRule="auto"/>
              <w:ind w:firstLine="0" w:firstLineChars="0"/>
              <w:jc w:val="center"/>
              <w:rPr>
                <w:rFonts w:cs="Times New Roman"/>
                <w:sz w:val="21"/>
                <w:szCs w:val="21"/>
              </w:rPr>
            </w:pPr>
            <w:r>
              <w:rPr>
                <w:rFonts w:cs="Times New Roman"/>
                <w:sz w:val="21"/>
                <w:szCs w:val="21"/>
              </w:rPr>
              <w:t>mg/L</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0.011</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氟化物</w:t>
            </w:r>
          </w:p>
        </w:tc>
        <w:tc>
          <w:tcPr>
            <w:tcW w:w="1400" w:type="dxa"/>
            <w:vAlign w:val="center"/>
          </w:tcPr>
          <w:p>
            <w:pPr>
              <w:spacing w:line="240" w:lineRule="auto"/>
              <w:ind w:firstLine="0" w:firstLineChars="0"/>
              <w:jc w:val="center"/>
              <w:rPr>
                <w:rFonts w:cs="Times New Roman"/>
                <w:sz w:val="21"/>
                <w:szCs w:val="21"/>
              </w:rPr>
            </w:pPr>
            <w:r>
              <w:rPr>
                <w:rFonts w:cs="Times New Roman"/>
                <w:sz w:val="21"/>
                <w:szCs w:val="21"/>
              </w:rPr>
              <w:t>mg/L</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0.153</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硒</w:t>
            </w:r>
          </w:p>
        </w:tc>
        <w:tc>
          <w:tcPr>
            <w:tcW w:w="1400" w:type="dxa"/>
            <w:vAlign w:val="center"/>
          </w:tcPr>
          <w:p>
            <w:pPr>
              <w:spacing w:line="240" w:lineRule="auto"/>
              <w:ind w:firstLine="0" w:firstLineChars="0"/>
              <w:jc w:val="center"/>
              <w:rPr>
                <w:rFonts w:cs="Times New Roman"/>
                <w:sz w:val="21"/>
                <w:szCs w:val="21"/>
              </w:rPr>
            </w:pPr>
            <w:r>
              <w:rPr>
                <w:rFonts w:cs="Times New Roman"/>
                <w:sz w:val="21"/>
                <w:szCs w:val="21"/>
              </w:rPr>
              <w:t>mg/L</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0.0002</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砷</w:t>
            </w:r>
          </w:p>
        </w:tc>
        <w:tc>
          <w:tcPr>
            <w:tcW w:w="1400" w:type="dxa"/>
            <w:vAlign w:val="center"/>
          </w:tcPr>
          <w:p>
            <w:pPr>
              <w:spacing w:line="240" w:lineRule="auto"/>
              <w:ind w:firstLine="0" w:firstLineChars="0"/>
              <w:jc w:val="center"/>
              <w:rPr>
                <w:rFonts w:cs="Times New Roman"/>
                <w:sz w:val="21"/>
                <w:szCs w:val="21"/>
              </w:rPr>
            </w:pPr>
            <w:r>
              <w:rPr>
                <w:rFonts w:cs="Times New Roman"/>
                <w:sz w:val="21"/>
                <w:szCs w:val="21"/>
              </w:rPr>
              <w:t>mg/L</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0.0058</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汞</w:t>
            </w:r>
          </w:p>
        </w:tc>
        <w:tc>
          <w:tcPr>
            <w:tcW w:w="1400" w:type="dxa"/>
            <w:vAlign w:val="center"/>
          </w:tcPr>
          <w:p>
            <w:pPr>
              <w:spacing w:line="240" w:lineRule="auto"/>
              <w:ind w:firstLine="0" w:firstLineChars="0"/>
              <w:jc w:val="center"/>
              <w:rPr>
                <w:rFonts w:cs="Times New Roman"/>
                <w:sz w:val="21"/>
                <w:szCs w:val="21"/>
              </w:rPr>
            </w:pPr>
            <w:r>
              <w:rPr>
                <w:rFonts w:cs="Times New Roman"/>
                <w:sz w:val="21"/>
                <w:szCs w:val="21"/>
              </w:rPr>
              <w:t>mg/L</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镉</w:t>
            </w:r>
          </w:p>
        </w:tc>
        <w:tc>
          <w:tcPr>
            <w:tcW w:w="1400" w:type="dxa"/>
            <w:vAlign w:val="center"/>
          </w:tcPr>
          <w:p>
            <w:pPr>
              <w:spacing w:line="240" w:lineRule="auto"/>
              <w:ind w:firstLine="0" w:firstLineChars="0"/>
              <w:jc w:val="center"/>
              <w:rPr>
                <w:rFonts w:cs="Times New Roman"/>
                <w:sz w:val="21"/>
                <w:szCs w:val="21"/>
              </w:rPr>
            </w:pPr>
            <w:r>
              <w:rPr>
                <w:rFonts w:cs="Times New Roman"/>
                <w:sz w:val="21"/>
                <w:szCs w:val="21"/>
              </w:rPr>
              <w:t>mg/L</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0.0002</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六价铬</w:t>
            </w:r>
          </w:p>
        </w:tc>
        <w:tc>
          <w:tcPr>
            <w:tcW w:w="1400" w:type="dxa"/>
            <w:vAlign w:val="center"/>
          </w:tcPr>
          <w:p>
            <w:pPr>
              <w:spacing w:line="240" w:lineRule="auto"/>
              <w:ind w:firstLine="0" w:firstLineChars="0"/>
              <w:jc w:val="center"/>
              <w:rPr>
                <w:rFonts w:cs="Times New Roman"/>
                <w:sz w:val="21"/>
                <w:szCs w:val="21"/>
              </w:rPr>
            </w:pPr>
            <w:r>
              <w:rPr>
                <w:rFonts w:cs="Times New Roman"/>
                <w:sz w:val="21"/>
                <w:szCs w:val="21"/>
              </w:rPr>
              <w:t>mg/L</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0.002</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铅</w:t>
            </w:r>
          </w:p>
        </w:tc>
        <w:tc>
          <w:tcPr>
            <w:tcW w:w="1400" w:type="dxa"/>
            <w:vAlign w:val="center"/>
          </w:tcPr>
          <w:p>
            <w:pPr>
              <w:spacing w:line="240" w:lineRule="auto"/>
              <w:ind w:firstLine="0" w:firstLineChars="0"/>
              <w:jc w:val="center"/>
              <w:rPr>
                <w:rFonts w:cs="Times New Roman"/>
                <w:sz w:val="21"/>
                <w:szCs w:val="21"/>
              </w:rPr>
            </w:pPr>
            <w:r>
              <w:rPr>
                <w:rFonts w:cs="Times New Roman"/>
                <w:sz w:val="21"/>
                <w:szCs w:val="21"/>
              </w:rPr>
              <w:t>mg/L</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0.0004</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氰化物</w:t>
            </w:r>
          </w:p>
        </w:tc>
        <w:tc>
          <w:tcPr>
            <w:tcW w:w="1400" w:type="dxa"/>
            <w:vAlign w:val="center"/>
          </w:tcPr>
          <w:p>
            <w:pPr>
              <w:spacing w:line="240" w:lineRule="auto"/>
              <w:ind w:firstLine="0" w:firstLineChars="0"/>
              <w:jc w:val="center"/>
              <w:rPr>
                <w:rFonts w:cs="Times New Roman"/>
                <w:sz w:val="21"/>
                <w:szCs w:val="21"/>
              </w:rPr>
            </w:pPr>
            <w:r>
              <w:rPr>
                <w:rFonts w:cs="Times New Roman"/>
                <w:sz w:val="21"/>
                <w:szCs w:val="21"/>
              </w:rPr>
              <w:t>mg/L</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0.002</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挥发酚</w:t>
            </w:r>
          </w:p>
        </w:tc>
        <w:tc>
          <w:tcPr>
            <w:tcW w:w="1400" w:type="dxa"/>
            <w:vAlign w:val="center"/>
          </w:tcPr>
          <w:p>
            <w:pPr>
              <w:spacing w:line="240" w:lineRule="auto"/>
              <w:ind w:firstLine="0" w:firstLineChars="0"/>
              <w:jc w:val="center"/>
              <w:rPr>
                <w:rFonts w:cs="Times New Roman"/>
                <w:sz w:val="21"/>
                <w:szCs w:val="21"/>
              </w:rPr>
            </w:pPr>
            <w:r>
              <w:rPr>
                <w:rFonts w:cs="Times New Roman"/>
                <w:sz w:val="21"/>
                <w:szCs w:val="21"/>
              </w:rPr>
              <w:t>mg/L</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0.0002</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石油类</w:t>
            </w:r>
          </w:p>
        </w:tc>
        <w:tc>
          <w:tcPr>
            <w:tcW w:w="1400" w:type="dxa"/>
            <w:vAlign w:val="center"/>
          </w:tcPr>
          <w:p>
            <w:pPr>
              <w:spacing w:line="240" w:lineRule="auto"/>
              <w:ind w:firstLine="0" w:firstLineChars="0"/>
              <w:jc w:val="center"/>
              <w:rPr>
                <w:rFonts w:cs="Times New Roman"/>
                <w:sz w:val="21"/>
                <w:szCs w:val="21"/>
              </w:rPr>
            </w:pPr>
            <w:r>
              <w:rPr>
                <w:rFonts w:cs="Times New Roman"/>
                <w:sz w:val="21"/>
                <w:szCs w:val="21"/>
              </w:rPr>
              <w:t>mg/L</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0.005</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阴离子表面活性剂</w:t>
            </w:r>
          </w:p>
        </w:tc>
        <w:tc>
          <w:tcPr>
            <w:tcW w:w="1400" w:type="dxa"/>
            <w:vAlign w:val="center"/>
          </w:tcPr>
          <w:p>
            <w:pPr>
              <w:spacing w:line="240" w:lineRule="auto"/>
              <w:ind w:firstLine="0" w:firstLineChars="0"/>
              <w:jc w:val="center"/>
              <w:rPr>
                <w:rFonts w:cs="Times New Roman"/>
                <w:sz w:val="21"/>
                <w:szCs w:val="21"/>
              </w:rPr>
            </w:pPr>
            <w:r>
              <w:rPr>
                <w:rFonts w:cs="Times New Roman"/>
                <w:sz w:val="21"/>
                <w:szCs w:val="21"/>
              </w:rPr>
              <w:t>mg/L</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0.02</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硫化物</w:t>
            </w:r>
          </w:p>
        </w:tc>
        <w:tc>
          <w:tcPr>
            <w:tcW w:w="1400" w:type="dxa"/>
            <w:vAlign w:val="center"/>
          </w:tcPr>
          <w:p>
            <w:pPr>
              <w:spacing w:line="240" w:lineRule="auto"/>
              <w:ind w:firstLine="0" w:firstLineChars="0"/>
              <w:jc w:val="center"/>
              <w:rPr>
                <w:rFonts w:cs="Times New Roman"/>
                <w:sz w:val="21"/>
                <w:szCs w:val="21"/>
              </w:rPr>
            </w:pPr>
            <w:r>
              <w:rPr>
                <w:rFonts w:cs="Times New Roman"/>
                <w:sz w:val="21"/>
                <w:szCs w:val="21"/>
              </w:rPr>
              <w:t>mg/L</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0.01</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4" w:type="dxa"/>
            <w:vAlign w:val="center"/>
          </w:tcPr>
          <w:p>
            <w:pPr>
              <w:pStyle w:val="47"/>
              <w:numPr>
                <w:ilvl w:val="0"/>
                <w:numId w:val="15"/>
              </w:numPr>
              <w:spacing w:line="240" w:lineRule="auto"/>
              <w:ind w:firstLineChars="0"/>
              <w:jc w:val="center"/>
              <w:rPr>
                <w:rFonts w:cs="Times New Roman"/>
                <w:sz w:val="21"/>
                <w:szCs w:val="21"/>
              </w:rPr>
            </w:pPr>
          </w:p>
        </w:tc>
        <w:tc>
          <w:tcPr>
            <w:tcW w:w="3187" w:type="dxa"/>
            <w:vAlign w:val="center"/>
          </w:tcPr>
          <w:p>
            <w:pPr>
              <w:spacing w:line="240" w:lineRule="auto"/>
              <w:ind w:firstLine="0" w:firstLineChars="0"/>
              <w:jc w:val="center"/>
              <w:rPr>
                <w:rFonts w:cs="Times New Roman"/>
                <w:sz w:val="21"/>
                <w:szCs w:val="21"/>
              </w:rPr>
            </w:pPr>
            <w:r>
              <w:rPr>
                <w:rFonts w:hint="eastAsia" w:cs="Times New Roman"/>
                <w:sz w:val="21"/>
                <w:szCs w:val="21"/>
              </w:rPr>
              <w:t>粪大肠杆菌</w:t>
            </w:r>
          </w:p>
        </w:tc>
        <w:tc>
          <w:tcPr>
            <w:tcW w:w="1400" w:type="dxa"/>
            <w:vAlign w:val="center"/>
          </w:tcPr>
          <w:p>
            <w:pPr>
              <w:spacing w:line="240" w:lineRule="auto"/>
              <w:ind w:firstLine="0" w:firstLineChars="0"/>
              <w:jc w:val="center"/>
              <w:rPr>
                <w:rFonts w:cs="Times New Roman"/>
                <w:sz w:val="21"/>
                <w:szCs w:val="21"/>
              </w:rPr>
            </w:pPr>
            <w:r>
              <w:rPr>
                <w:rFonts w:hint="eastAsia" w:cs="Times New Roman"/>
                <w:sz w:val="21"/>
                <w:szCs w:val="21"/>
              </w:rPr>
              <w:t>个</w:t>
            </w:r>
            <w:r>
              <w:rPr>
                <w:rFonts w:cs="Times New Roman"/>
                <w:sz w:val="21"/>
                <w:szCs w:val="21"/>
              </w:rPr>
              <w:t>/L</w:t>
            </w:r>
          </w:p>
        </w:tc>
        <w:tc>
          <w:tcPr>
            <w:tcW w:w="1650" w:type="dxa"/>
            <w:vAlign w:val="center"/>
          </w:tcPr>
          <w:p>
            <w:pPr>
              <w:spacing w:line="240" w:lineRule="auto"/>
              <w:ind w:firstLine="0" w:firstLineChars="0"/>
              <w:jc w:val="center"/>
              <w:rPr>
                <w:rFonts w:cs="Times New Roman"/>
                <w:sz w:val="21"/>
                <w:szCs w:val="21"/>
              </w:rPr>
            </w:pPr>
            <w:r>
              <w:rPr>
                <w:rFonts w:cs="Times New Roman"/>
                <w:sz w:val="21"/>
                <w:szCs w:val="21"/>
              </w:rPr>
              <w:t>/</w:t>
            </w:r>
          </w:p>
        </w:tc>
        <w:tc>
          <w:tcPr>
            <w:tcW w:w="1646" w:type="dxa"/>
            <w:vAlign w:val="center"/>
          </w:tcPr>
          <w:p>
            <w:pPr>
              <w:spacing w:line="240" w:lineRule="auto"/>
              <w:ind w:firstLine="0" w:firstLineChars="0"/>
              <w:jc w:val="center"/>
              <w:rPr>
                <w:rFonts w:cs="Times New Roman"/>
                <w:sz w:val="21"/>
                <w:szCs w:val="21"/>
              </w:rPr>
            </w:pPr>
            <w:r>
              <w:rPr>
                <w:rFonts w:hint="eastAsia" w:cs="Times New Roman"/>
                <w:sz w:val="21"/>
                <w:szCs w:val="21"/>
              </w:rPr>
              <w:t>Ⅱ级</w:t>
            </w:r>
          </w:p>
        </w:tc>
      </w:tr>
    </w:tbl>
    <w:p>
      <w:pPr>
        <w:pStyle w:val="6"/>
        <w:spacing w:before="197" w:beforeLines="50"/>
      </w:pPr>
      <w:bookmarkStart w:id="81" w:name="_Toc113925449"/>
      <w:bookmarkStart w:id="82" w:name="_Toc113925701"/>
      <w:r>
        <w:rPr>
          <w:rFonts w:hint="eastAsia"/>
        </w:rPr>
        <w:t>气候特征</w:t>
      </w:r>
      <w:bookmarkEnd w:id="81"/>
      <w:bookmarkEnd w:id="82"/>
    </w:p>
    <w:p>
      <w:pPr>
        <w:ind w:firstLine="560"/>
        <w:rPr>
          <w:rFonts w:cs="Times New Roman"/>
          <w:szCs w:val="28"/>
        </w:rPr>
      </w:pPr>
      <w:r>
        <w:rPr>
          <w:rFonts w:hint="eastAsia" w:cs="Times New Roman"/>
          <w:szCs w:val="28"/>
        </w:rPr>
        <w:t>仙阳湖国家湿地公园所属的石门县地处中亚热带向北亚热带过渡的季风湿润气候区，除具有冷热四季分明，无霜期长、严寒期短，热量富足、降水丰沛、雨季集中、干湿两季等亚热带季风气候共有的特点外，还具有因地理位置与地形条件形成的地方性气候特色。根据石门气象站多年实测资料统计，石门县多年平均气温16.7℃，历年最高气温为40.9℃，最低气温为-13.0℃，大于或等于10℃的活动积温达5281.7℃，区内山地气温递减率为：海拔340米以下为0.31℃/100m，海拔340～971.8米之间为0.6℃/100m，海拔971.8～1489.1米之间为0.57℃/100m，平均0.49℃/100m。区域降水年内及年际分布不均，多年平均降雨量为1367.1mm，最大年降水量2215.8mm，最小年降水量962.4mm，年降雨量随海拔升高而递增，其递增率为：海拔300米以下为25mm/100m，海拔300～971.8米之间为17.1mm/100m，海拔971.8～1489.1米之间为50.2mm/100m。境内多年平均日照时数1656.0小时，日照百分率为37%，一年中日照最多为7月，平均235.2小时，最少是2月，平均77.9小时，日照时数随海拔由低向高递减，每上升100米减少35.7小时，大致在海拔900米左右达到最小值，然后随着高度的增加，日照时数增加，每上升100米增加35.6小时。太阳总辐射量为103.73KJ/c平方米；县内无霜期多年平均值为281天。本地区夏季多为东南风，冬季多为西北风，多年平均风速2.0m/s。</w:t>
      </w:r>
    </w:p>
    <w:p>
      <w:pPr>
        <w:ind w:firstLine="0" w:firstLineChars="0"/>
        <w:rPr>
          <w:rFonts w:eastAsia="宋体" w:cs="Times New Roman"/>
          <w:sz w:val="21"/>
          <w:szCs w:val="21"/>
          <w:lang w:bidi="bo-CN"/>
        </w:rPr>
      </w:pPr>
      <w:r>
        <w:rPr>
          <w:rFonts w:eastAsia="宋体" w:cs="Times New Roman"/>
          <w:sz w:val="21"/>
          <w:szCs w:val="21"/>
          <w:lang w:bidi="bo-CN"/>
        </w:rPr>
        <w:drawing>
          <wp:inline distT="0" distB="0" distL="114300" distR="114300">
            <wp:extent cx="5575300" cy="3212465"/>
            <wp:effectExtent l="0" t="0" r="6350" b="6985"/>
            <wp:docPr id="21" name="图片 21" descr="7de3d291bd694553a77485a9c3178e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7de3d291bd694553a77485a9c3178e07"/>
                    <pic:cNvPicPr>
                      <a:picLocks noChangeAspect="1"/>
                    </pic:cNvPicPr>
                  </pic:nvPicPr>
                  <pic:blipFill>
                    <a:blip r:embed="rId18"/>
                    <a:srcRect t="13698"/>
                    <a:stretch>
                      <a:fillRect/>
                    </a:stretch>
                  </pic:blipFill>
                  <pic:spPr>
                    <a:xfrm>
                      <a:off x="0" y="0"/>
                      <a:ext cx="5575300" cy="3212465"/>
                    </a:xfrm>
                    <a:prstGeom prst="rect">
                      <a:avLst/>
                    </a:prstGeom>
                  </pic:spPr>
                </pic:pic>
              </a:graphicData>
            </a:graphic>
          </wp:inline>
        </w:drawing>
      </w:r>
    </w:p>
    <w:p>
      <w:pPr>
        <w:ind w:firstLine="0" w:firstLineChars="0"/>
        <w:jc w:val="center"/>
        <w:rPr>
          <w:rFonts w:cs="Times New Roman"/>
          <w:szCs w:val="28"/>
        </w:rPr>
      </w:pPr>
      <w:r>
        <w:rPr>
          <w:rFonts w:hint="eastAsia" w:ascii="黑体" w:hAnsi="黑体" w:eastAsia="黑体" w:cs="黑体"/>
          <w:sz w:val="24"/>
        </w:rPr>
        <w:t>图</w:t>
      </w:r>
      <w:r>
        <w:rPr>
          <w:rFonts w:eastAsia="黑体" w:cs="Times New Roman"/>
          <w:sz w:val="24"/>
        </w:rPr>
        <w:t>2-</w:t>
      </w:r>
      <w:r>
        <w:rPr>
          <w:rFonts w:hint="eastAsia" w:eastAsia="黑体" w:cs="Times New Roman"/>
          <w:sz w:val="24"/>
        </w:rPr>
        <w:t>3</w:t>
      </w:r>
      <w:r>
        <w:rPr>
          <w:rFonts w:hint="eastAsia" w:ascii="黑体" w:hAnsi="黑体" w:eastAsia="黑体" w:cs="黑体"/>
          <w:sz w:val="24"/>
        </w:rPr>
        <w:t xml:space="preserve"> 仙阳湖晨曦</w:t>
      </w:r>
    </w:p>
    <w:p>
      <w:pPr>
        <w:pStyle w:val="6"/>
      </w:pPr>
      <w:bookmarkStart w:id="83" w:name="_Toc113925450"/>
      <w:bookmarkStart w:id="84" w:name="_Toc113925702"/>
      <w:r>
        <w:rPr>
          <w:rFonts w:hint="eastAsia"/>
        </w:rPr>
        <w:t>土壤</w:t>
      </w:r>
      <w:bookmarkEnd w:id="83"/>
      <w:bookmarkEnd w:id="84"/>
    </w:p>
    <w:p>
      <w:pPr>
        <w:ind w:firstLine="560"/>
        <w:rPr>
          <w:rFonts w:cs="Times New Roman"/>
          <w:szCs w:val="28"/>
        </w:rPr>
      </w:pPr>
      <w:r>
        <w:rPr>
          <w:rFonts w:hint="eastAsia" w:cs="Times New Roman"/>
          <w:szCs w:val="28"/>
        </w:rPr>
        <w:t>仙阳湖国家湿地公园所属的石门县土壤的成土母质主要有板页岩、石灰岩、砂砾岩、第四纪红土、近代河流冲（沉）积物、紫色砂页岩等。板页岩占总面积的48.5%，一般形成较深厚肥沃的土层；石灰岩占总面积的27.1％，多形成岩溶地貌，一般土层较薄，岩石裸露；砂砾岩风化物占总面积的11.5％，岩性较硬，风化不易，抗蚀力强，保水力差，缺细粒粘土，养分较缺乏，结构疏松。</w:t>
      </w:r>
    </w:p>
    <w:p>
      <w:pPr>
        <w:ind w:firstLine="560"/>
      </w:pPr>
      <w:r>
        <w:rPr>
          <w:rFonts w:hint="eastAsia"/>
        </w:rPr>
        <w:t>石门县土壤共有</w:t>
      </w:r>
      <w:r>
        <w:t>8</w:t>
      </w:r>
      <w:r>
        <w:rPr>
          <w:rFonts w:hint="eastAsia"/>
        </w:rPr>
        <w:t>个土类、</w:t>
      </w:r>
      <w:r>
        <w:t>18</w:t>
      </w:r>
      <w:r>
        <w:rPr>
          <w:rFonts w:hint="eastAsia"/>
        </w:rPr>
        <w:t>个亚类、</w:t>
      </w:r>
      <w:r>
        <w:t>58</w:t>
      </w:r>
      <w:r>
        <w:rPr>
          <w:rFonts w:hint="eastAsia"/>
        </w:rPr>
        <w:t>个土属、</w:t>
      </w:r>
      <w:r>
        <w:t>130</w:t>
      </w:r>
      <w:r>
        <w:rPr>
          <w:rFonts w:hint="eastAsia"/>
        </w:rPr>
        <w:t>个土种，水稻土、潮土多分布于澧水、道水、洈水及渫水等河流的1～2级支流两岸的平原，红壤、紫色土遍及丘、岗地，红色石灰土、黑色石灰土多见于低山、中低山，黄棕壤、草甸土多分布于壶瓶山、顶平山等地。县内土壤垂直分布规律为：海拔800</w:t>
      </w:r>
      <w:r>
        <w:rPr>
          <w:rFonts w:hint="eastAsia" w:cs="Times New Roman"/>
          <w:szCs w:val="28"/>
        </w:rPr>
        <w:t>米</w:t>
      </w:r>
      <w:r>
        <w:rPr>
          <w:rFonts w:hint="eastAsia"/>
        </w:rPr>
        <w:t>以下为红壤分布区，其中海拔500</w:t>
      </w:r>
      <w:r>
        <w:rPr>
          <w:rFonts w:hint="eastAsia" w:cs="Times New Roman"/>
          <w:szCs w:val="28"/>
        </w:rPr>
        <w:t>米</w:t>
      </w:r>
      <w:r>
        <w:rPr>
          <w:rFonts w:hint="eastAsia"/>
        </w:rPr>
        <w:t>以下为红壤亚类，500～800</w:t>
      </w:r>
      <w:r>
        <w:rPr>
          <w:rFonts w:hint="eastAsia" w:cs="Times New Roman"/>
          <w:szCs w:val="28"/>
        </w:rPr>
        <w:t>米</w:t>
      </w:r>
      <w:r>
        <w:rPr>
          <w:rFonts w:hint="eastAsia"/>
        </w:rPr>
        <w:t>为黄红壤亚类；海拔800～1400</w:t>
      </w:r>
      <w:r>
        <w:rPr>
          <w:rFonts w:hint="eastAsia" w:cs="Times New Roman"/>
          <w:szCs w:val="28"/>
        </w:rPr>
        <w:t>米</w:t>
      </w:r>
      <w:r>
        <w:rPr>
          <w:rFonts w:hint="eastAsia"/>
        </w:rPr>
        <w:t>为山地黄壤，海拔1400～1900</w:t>
      </w:r>
      <w:r>
        <w:rPr>
          <w:rFonts w:hint="eastAsia" w:cs="Times New Roman"/>
          <w:szCs w:val="28"/>
        </w:rPr>
        <w:t>米</w:t>
      </w:r>
      <w:r>
        <w:rPr>
          <w:rFonts w:hint="eastAsia"/>
        </w:rPr>
        <w:t>为山地黄棕壤，海拔1900</w:t>
      </w:r>
      <w:r>
        <w:rPr>
          <w:rFonts w:hint="eastAsia" w:cs="Times New Roman"/>
          <w:szCs w:val="28"/>
        </w:rPr>
        <w:t>米</w:t>
      </w:r>
      <w:r>
        <w:rPr>
          <w:rFonts w:hint="eastAsia"/>
        </w:rPr>
        <w:t>以上为山地草甸土。全县山地土壤深厚，质地适中，养分含量丰富，酸碱度较为适中，适宜林木生长。</w:t>
      </w:r>
    </w:p>
    <w:p>
      <w:pPr>
        <w:ind w:firstLine="560"/>
        <w:rPr>
          <w:rFonts w:cs="Times New Roman"/>
        </w:rPr>
      </w:pPr>
      <w:r>
        <w:rPr>
          <w:rFonts w:hint="eastAsia" w:cs="Times New Roman"/>
        </w:rPr>
        <w:t>湿地公园范围内以红壤、潮土为主。</w:t>
      </w:r>
    </w:p>
    <w:p>
      <w:pPr>
        <w:pStyle w:val="5"/>
        <w:spacing w:before="197"/>
      </w:pPr>
      <w:bookmarkStart w:id="85" w:name="_Toc9419"/>
      <w:bookmarkStart w:id="86" w:name="_Toc113925703"/>
      <w:bookmarkStart w:id="87" w:name="_Toc113925451"/>
      <w:bookmarkStart w:id="88" w:name="_Toc11689"/>
      <w:bookmarkStart w:id="89" w:name="_Toc114084631"/>
      <w:bookmarkStart w:id="90" w:name="_Toc117114358"/>
      <w:r>
        <w:rPr>
          <w:rFonts w:hint="eastAsia"/>
        </w:rPr>
        <w:t>社会经济条件</w:t>
      </w:r>
      <w:bookmarkEnd w:id="85"/>
      <w:bookmarkEnd w:id="86"/>
      <w:bookmarkEnd w:id="87"/>
      <w:bookmarkEnd w:id="88"/>
      <w:bookmarkEnd w:id="89"/>
      <w:bookmarkEnd w:id="90"/>
    </w:p>
    <w:p>
      <w:pPr>
        <w:pStyle w:val="6"/>
        <w:numPr>
          <w:ilvl w:val="2"/>
          <w:numId w:val="16"/>
        </w:numPr>
      </w:pPr>
      <w:r>
        <w:rPr>
          <w:rFonts w:hint="eastAsia"/>
        </w:rPr>
        <w:t>湿地公园外围涉及的乡镇和人口</w:t>
      </w:r>
    </w:p>
    <w:p>
      <w:pPr>
        <w:ind w:firstLine="560"/>
      </w:pPr>
      <w:r>
        <w:rPr>
          <w:rFonts w:hint="eastAsia"/>
        </w:rPr>
        <w:t>公园范围涉及维新、雁池、磨市、皂市、新铺、三圣、所街、白云8个乡镇39个村，总人口</w:t>
      </w:r>
      <w:r>
        <w:t>177108</w:t>
      </w:r>
      <w:r>
        <w:rPr>
          <w:rFonts w:hint="eastAsia"/>
        </w:rPr>
        <w:t>人，详见表2-2。</w:t>
      </w:r>
    </w:p>
    <w:p>
      <w:pPr>
        <w:pStyle w:val="14"/>
        <w:keepNext/>
        <w:spacing w:before="197" w:after="0" w:afterLines="0"/>
        <w:rPr>
          <w:sz w:val="28"/>
          <w:szCs w:val="28"/>
        </w:rPr>
      </w:pPr>
      <w:r>
        <w:rPr>
          <w:rFonts w:hint="eastAsia"/>
          <w:sz w:val="28"/>
          <w:szCs w:val="28"/>
        </w:rPr>
        <w:t>湿地公园涉及乡镇村及人口统计表</w:t>
      </w:r>
    </w:p>
    <w:p>
      <w:pPr>
        <w:pStyle w:val="14"/>
        <w:keepNext/>
        <w:spacing w:before="0" w:beforeLines="0" w:after="0" w:afterLines="0"/>
        <w:jc w:val="left"/>
        <w:rPr>
          <w:rFonts w:eastAsia="仿宋" w:cs="Times New Roman"/>
        </w:rPr>
      </w:pPr>
      <w:r>
        <w:rPr>
          <w:rFonts w:hint="eastAsia" w:ascii="黑体" w:hAnsi="黑体" w:cs="黑体"/>
        </w:rPr>
        <w:t>表</w:t>
      </w:r>
      <w:r>
        <w:rPr>
          <w:rFonts w:eastAsia="仿宋" w:cs="Times New Roman"/>
        </w:rPr>
        <w:fldChar w:fldCharType="begin"/>
      </w:r>
      <w:r>
        <w:rPr>
          <w:rFonts w:eastAsia="仿宋" w:cs="Times New Roman"/>
        </w:rPr>
        <w:instrText xml:space="preserve"> STYLEREF 1 \s </w:instrText>
      </w:r>
      <w:r>
        <w:rPr>
          <w:rFonts w:eastAsia="仿宋" w:cs="Times New Roman"/>
        </w:rPr>
        <w:fldChar w:fldCharType="separate"/>
      </w:r>
      <w:r>
        <w:rPr>
          <w:rFonts w:eastAsia="仿宋" w:cs="Times New Roman"/>
        </w:rPr>
        <w:t>2</w:t>
      </w:r>
      <w:r>
        <w:rPr>
          <w:rFonts w:eastAsia="仿宋" w:cs="Times New Roman"/>
        </w:rPr>
        <w:fldChar w:fldCharType="end"/>
      </w:r>
      <w:r>
        <w:rPr>
          <w:rFonts w:eastAsia="仿宋" w:cs="Times New Roman"/>
        </w:rPr>
        <w:t>-2                                                                      单位：人</w:t>
      </w:r>
    </w:p>
    <w:tbl>
      <w:tblPr>
        <w:tblStyle w:val="33"/>
        <w:tblW w:w="0" w:type="auto"/>
        <w:tblInd w:w="9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5"/>
        <w:gridCol w:w="1559"/>
        <w:gridCol w:w="5528"/>
        <w:gridCol w:w="9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5" w:type="dxa"/>
            <w:vAlign w:val="center"/>
          </w:tcPr>
          <w:p>
            <w:pPr>
              <w:ind w:firstLine="0" w:firstLineChars="0"/>
              <w:jc w:val="center"/>
              <w:rPr>
                <w:b/>
                <w:bCs/>
                <w:sz w:val="21"/>
                <w:szCs w:val="21"/>
              </w:rPr>
            </w:pPr>
            <w:r>
              <w:rPr>
                <w:rFonts w:hint="eastAsia"/>
                <w:b/>
                <w:bCs/>
                <w:sz w:val="21"/>
                <w:szCs w:val="21"/>
              </w:rPr>
              <w:t>序号</w:t>
            </w:r>
          </w:p>
        </w:tc>
        <w:tc>
          <w:tcPr>
            <w:tcW w:w="1559" w:type="dxa"/>
            <w:vAlign w:val="center"/>
          </w:tcPr>
          <w:p>
            <w:pPr>
              <w:ind w:firstLine="0" w:firstLineChars="0"/>
              <w:jc w:val="center"/>
              <w:rPr>
                <w:b/>
                <w:bCs/>
                <w:sz w:val="21"/>
                <w:szCs w:val="21"/>
              </w:rPr>
            </w:pPr>
            <w:r>
              <w:rPr>
                <w:rFonts w:hint="eastAsia"/>
                <w:b/>
                <w:bCs/>
                <w:sz w:val="21"/>
                <w:szCs w:val="21"/>
              </w:rPr>
              <w:t>乡、镇</w:t>
            </w:r>
          </w:p>
        </w:tc>
        <w:tc>
          <w:tcPr>
            <w:tcW w:w="5528" w:type="dxa"/>
            <w:vAlign w:val="center"/>
          </w:tcPr>
          <w:p>
            <w:pPr>
              <w:ind w:firstLine="0" w:firstLineChars="0"/>
              <w:jc w:val="center"/>
              <w:rPr>
                <w:b/>
                <w:bCs/>
                <w:sz w:val="21"/>
                <w:szCs w:val="21"/>
              </w:rPr>
            </w:pPr>
            <w:r>
              <w:rPr>
                <w:rFonts w:hint="eastAsia"/>
                <w:b/>
                <w:bCs/>
                <w:sz w:val="21"/>
                <w:szCs w:val="21"/>
              </w:rPr>
              <w:t>村、社区</w:t>
            </w:r>
          </w:p>
        </w:tc>
        <w:tc>
          <w:tcPr>
            <w:tcW w:w="953" w:type="dxa"/>
            <w:vAlign w:val="center"/>
          </w:tcPr>
          <w:p>
            <w:pPr>
              <w:ind w:firstLine="0" w:firstLineChars="0"/>
              <w:jc w:val="center"/>
              <w:rPr>
                <w:b/>
                <w:bCs/>
                <w:sz w:val="21"/>
                <w:szCs w:val="21"/>
              </w:rPr>
            </w:pPr>
            <w:r>
              <w:rPr>
                <w:rFonts w:hint="eastAsia"/>
                <w:b/>
                <w:bCs/>
                <w:sz w:val="21"/>
                <w:szCs w:val="21"/>
              </w:rPr>
              <w:t>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5" w:type="dxa"/>
            <w:vAlign w:val="center"/>
          </w:tcPr>
          <w:p>
            <w:pPr>
              <w:spacing w:line="240" w:lineRule="auto"/>
              <w:ind w:firstLine="0" w:firstLineChars="0"/>
              <w:jc w:val="center"/>
              <w:rPr>
                <w:sz w:val="21"/>
                <w:szCs w:val="21"/>
              </w:rPr>
            </w:pPr>
            <w:r>
              <w:rPr>
                <w:rFonts w:hint="eastAsia"/>
                <w:sz w:val="21"/>
                <w:szCs w:val="21"/>
              </w:rPr>
              <w:t>1</w:t>
            </w:r>
          </w:p>
        </w:tc>
        <w:tc>
          <w:tcPr>
            <w:tcW w:w="1559" w:type="dxa"/>
            <w:vAlign w:val="center"/>
          </w:tcPr>
          <w:p>
            <w:pPr>
              <w:spacing w:line="240" w:lineRule="auto"/>
              <w:ind w:firstLine="0" w:firstLineChars="0"/>
              <w:jc w:val="center"/>
              <w:rPr>
                <w:sz w:val="21"/>
                <w:szCs w:val="21"/>
              </w:rPr>
            </w:pPr>
            <w:r>
              <w:rPr>
                <w:rFonts w:hint="eastAsia"/>
                <w:sz w:val="21"/>
                <w:szCs w:val="21"/>
              </w:rPr>
              <w:t>维新镇</w:t>
            </w:r>
          </w:p>
        </w:tc>
        <w:tc>
          <w:tcPr>
            <w:tcW w:w="5528" w:type="dxa"/>
            <w:vAlign w:val="center"/>
          </w:tcPr>
          <w:p>
            <w:pPr>
              <w:spacing w:line="240" w:lineRule="auto"/>
              <w:ind w:firstLine="0" w:firstLineChars="0"/>
              <w:jc w:val="left"/>
              <w:rPr>
                <w:sz w:val="21"/>
                <w:szCs w:val="21"/>
              </w:rPr>
            </w:pPr>
            <w:r>
              <w:rPr>
                <w:rFonts w:hint="eastAsia"/>
                <w:sz w:val="21"/>
                <w:szCs w:val="21"/>
              </w:rPr>
              <w:t>仙阳湖社区、重阳树社区、维新场社区、严家山村、大兴场村、范银湾村、金岭坡村、水碾溪村、毛家坪村、古城堤村、汤溪峪村、阳虎峪村、中渡水村、峡峪河村</w:t>
            </w:r>
          </w:p>
        </w:tc>
        <w:tc>
          <w:tcPr>
            <w:tcW w:w="953" w:type="dxa"/>
            <w:vAlign w:val="center"/>
          </w:tcPr>
          <w:p>
            <w:pPr>
              <w:spacing w:line="240" w:lineRule="auto"/>
              <w:ind w:firstLine="0" w:firstLineChars="0"/>
              <w:jc w:val="center"/>
              <w:rPr>
                <w:sz w:val="21"/>
                <w:szCs w:val="21"/>
              </w:rPr>
            </w:pPr>
            <w:r>
              <w:rPr>
                <w:sz w:val="21"/>
                <w:szCs w:val="21"/>
              </w:rPr>
              <w:t>12966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5" w:type="dxa"/>
            <w:vAlign w:val="center"/>
          </w:tcPr>
          <w:p>
            <w:pPr>
              <w:spacing w:line="240" w:lineRule="auto"/>
              <w:ind w:firstLine="0" w:firstLineChars="0"/>
              <w:jc w:val="center"/>
              <w:rPr>
                <w:sz w:val="21"/>
                <w:szCs w:val="21"/>
              </w:rPr>
            </w:pPr>
            <w:r>
              <w:rPr>
                <w:rFonts w:hint="eastAsia"/>
                <w:sz w:val="21"/>
                <w:szCs w:val="21"/>
              </w:rPr>
              <w:t>2</w:t>
            </w:r>
          </w:p>
        </w:tc>
        <w:tc>
          <w:tcPr>
            <w:tcW w:w="1559" w:type="dxa"/>
            <w:vAlign w:val="center"/>
          </w:tcPr>
          <w:p>
            <w:pPr>
              <w:spacing w:line="240" w:lineRule="auto"/>
              <w:ind w:firstLine="0" w:firstLineChars="0"/>
              <w:jc w:val="center"/>
              <w:rPr>
                <w:sz w:val="21"/>
                <w:szCs w:val="21"/>
              </w:rPr>
            </w:pPr>
            <w:r>
              <w:rPr>
                <w:rFonts w:hint="eastAsia"/>
                <w:sz w:val="21"/>
                <w:szCs w:val="21"/>
              </w:rPr>
              <w:t>雁池乡</w:t>
            </w:r>
          </w:p>
        </w:tc>
        <w:tc>
          <w:tcPr>
            <w:tcW w:w="5528" w:type="dxa"/>
            <w:vAlign w:val="center"/>
          </w:tcPr>
          <w:p>
            <w:pPr>
              <w:spacing w:line="240" w:lineRule="auto"/>
              <w:ind w:firstLine="0" w:firstLineChars="0"/>
              <w:jc w:val="left"/>
              <w:rPr>
                <w:sz w:val="21"/>
                <w:szCs w:val="21"/>
              </w:rPr>
            </w:pPr>
            <w:r>
              <w:rPr>
                <w:rFonts w:hint="eastAsia"/>
                <w:sz w:val="21"/>
                <w:szCs w:val="21"/>
              </w:rPr>
              <w:t>雁池坪社区、珠宝街村、矿岭村、白泥村、中军渡村、唐家坪村</w:t>
            </w:r>
          </w:p>
        </w:tc>
        <w:tc>
          <w:tcPr>
            <w:tcW w:w="953" w:type="dxa"/>
            <w:vAlign w:val="center"/>
          </w:tcPr>
          <w:p>
            <w:pPr>
              <w:spacing w:line="240" w:lineRule="auto"/>
              <w:ind w:firstLine="0" w:firstLineChars="0"/>
              <w:jc w:val="center"/>
              <w:rPr>
                <w:sz w:val="21"/>
                <w:szCs w:val="21"/>
              </w:rPr>
            </w:pPr>
            <w:r>
              <w:rPr>
                <w:sz w:val="21"/>
                <w:szCs w:val="21"/>
              </w:rPr>
              <w:t>24060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5" w:type="dxa"/>
            <w:vAlign w:val="center"/>
          </w:tcPr>
          <w:p>
            <w:pPr>
              <w:spacing w:line="240" w:lineRule="auto"/>
              <w:ind w:firstLine="0" w:firstLineChars="0"/>
              <w:jc w:val="center"/>
              <w:rPr>
                <w:sz w:val="21"/>
                <w:szCs w:val="21"/>
              </w:rPr>
            </w:pPr>
            <w:r>
              <w:rPr>
                <w:rFonts w:hint="eastAsia"/>
                <w:sz w:val="21"/>
                <w:szCs w:val="21"/>
              </w:rPr>
              <w:t>3</w:t>
            </w:r>
          </w:p>
        </w:tc>
        <w:tc>
          <w:tcPr>
            <w:tcW w:w="1559" w:type="dxa"/>
            <w:vAlign w:val="center"/>
          </w:tcPr>
          <w:p>
            <w:pPr>
              <w:spacing w:line="240" w:lineRule="auto"/>
              <w:ind w:firstLine="0" w:firstLineChars="0"/>
              <w:jc w:val="center"/>
              <w:rPr>
                <w:sz w:val="21"/>
                <w:szCs w:val="21"/>
              </w:rPr>
            </w:pPr>
            <w:r>
              <w:rPr>
                <w:rFonts w:hint="eastAsia"/>
                <w:sz w:val="21"/>
                <w:szCs w:val="21"/>
              </w:rPr>
              <w:t>磨市镇</w:t>
            </w:r>
          </w:p>
        </w:tc>
        <w:tc>
          <w:tcPr>
            <w:tcW w:w="5528" w:type="dxa"/>
            <w:vAlign w:val="center"/>
          </w:tcPr>
          <w:p>
            <w:pPr>
              <w:spacing w:line="240" w:lineRule="auto"/>
              <w:ind w:firstLine="0" w:firstLineChars="0"/>
              <w:jc w:val="left"/>
              <w:rPr>
                <w:sz w:val="21"/>
                <w:szCs w:val="21"/>
              </w:rPr>
            </w:pPr>
            <w:r>
              <w:rPr>
                <w:rFonts w:hint="eastAsia"/>
                <w:sz w:val="21"/>
                <w:szCs w:val="21"/>
              </w:rPr>
              <w:t>磨市社区、车坊村、木瓜峪村、横铺村、铜鼓峪村、鲍家渡村、官庄村</w:t>
            </w:r>
          </w:p>
        </w:tc>
        <w:tc>
          <w:tcPr>
            <w:tcW w:w="953" w:type="dxa"/>
            <w:vAlign w:val="center"/>
          </w:tcPr>
          <w:p>
            <w:pPr>
              <w:spacing w:line="240" w:lineRule="auto"/>
              <w:ind w:firstLine="0" w:firstLineChars="0"/>
              <w:jc w:val="center"/>
              <w:rPr>
                <w:sz w:val="21"/>
                <w:szCs w:val="21"/>
              </w:rPr>
            </w:pPr>
            <w:r>
              <w:rPr>
                <w:sz w:val="21"/>
                <w:szCs w:val="21"/>
              </w:rPr>
              <w:t>22378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5" w:type="dxa"/>
            <w:vAlign w:val="center"/>
          </w:tcPr>
          <w:p>
            <w:pPr>
              <w:spacing w:line="240" w:lineRule="auto"/>
              <w:ind w:firstLine="0" w:firstLineChars="0"/>
              <w:jc w:val="center"/>
              <w:rPr>
                <w:sz w:val="21"/>
                <w:szCs w:val="21"/>
              </w:rPr>
            </w:pPr>
            <w:r>
              <w:rPr>
                <w:rFonts w:hint="eastAsia"/>
                <w:sz w:val="21"/>
                <w:szCs w:val="21"/>
              </w:rPr>
              <w:t>4</w:t>
            </w:r>
          </w:p>
        </w:tc>
        <w:tc>
          <w:tcPr>
            <w:tcW w:w="1559" w:type="dxa"/>
            <w:vAlign w:val="center"/>
          </w:tcPr>
          <w:p>
            <w:pPr>
              <w:spacing w:line="240" w:lineRule="auto"/>
              <w:ind w:firstLine="0" w:firstLineChars="0"/>
              <w:jc w:val="center"/>
              <w:rPr>
                <w:sz w:val="21"/>
                <w:szCs w:val="21"/>
              </w:rPr>
            </w:pPr>
            <w:r>
              <w:rPr>
                <w:rFonts w:hint="eastAsia"/>
                <w:sz w:val="21"/>
                <w:szCs w:val="21"/>
              </w:rPr>
              <w:t>皂市镇</w:t>
            </w:r>
          </w:p>
        </w:tc>
        <w:tc>
          <w:tcPr>
            <w:tcW w:w="5528" w:type="dxa"/>
            <w:vAlign w:val="center"/>
          </w:tcPr>
          <w:p>
            <w:pPr>
              <w:spacing w:line="240" w:lineRule="auto"/>
              <w:ind w:firstLine="0" w:firstLineChars="0"/>
              <w:jc w:val="left"/>
              <w:rPr>
                <w:sz w:val="21"/>
                <w:szCs w:val="21"/>
              </w:rPr>
            </w:pPr>
            <w:r>
              <w:rPr>
                <w:rFonts w:hint="eastAsia"/>
                <w:sz w:val="21"/>
                <w:szCs w:val="21"/>
              </w:rPr>
              <w:t>皂市社区、十坪村、三望坡村、万仞洞村、天鹅山村</w:t>
            </w:r>
          </w:p>
        </w:tc>
        <w:tc>
          <w:tcPr>
            <w:tcW w:w="953" w:type="dxa"/>
            <w:vAlign w:val="center"/>
          </w:tcPr>
          <w:p>
            <w:pPr>
              <w:spacing w:line="240" w:lineRule="auto"/>
              <w:ind w:firstLine="0" w:firstLineChars="0"/>
              <w:jc w:val="center"/>
              <w:rPr>
                <w:sz w:val="21"/>
                <w:szCs w:val="21"/>
              </w:rPr>
            </w:pPr>
            <w:r>
              <w:rPr>
                <w:sz w:val="21"/>
                <w:szCs w:val="21"/>
              </w:rPr>
              <w:t>20245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5" w:type="dxa"/>
            <w:vAlign w:val="center"/>
          </w:tcPr>
          <w:p>
            <w:pPr>
              <w:spacing w:line="240" w:lineRule="auto"/>
              <w:ind w:firstLine="0" w:firstLineChars="0"/>
              <w:jc w:val="center"/>
              <w:rPr>
                <w:sz w:val="21"/>
                <w:szCs w:val="21"/>
              </w:rPr>
            </w:pPr>
            <w:r>
              <w:rPr>
                <w:rFonts w:hint="eastAsia"/>
                <w:sz w:val="21"/>
                <w:szCs w:val="21"/>
              </w:rPr>
              <w:t>5</w:t>
            </w:r>
          </w:p>
        </w:tc>
        <w:tc>
          <w:tcPr>
            <w:tcW w:w="1559" w:type="dxa"/>
            <w:vAlign w:val="center"/>
          </w:tcPr>
          <w:p>
            <w:pPr>
              <w:spacing w:line="240" w:lineRule="auto"/>
              <w:ind w:firstLine="0" w:firstLineChars="0"/>
              <w:jc w:val="center"/>
              <w:rPr>
                <w:sz w:val="21"/>
                <w:szCs w:val="21"/>
              </w:rPr>
            </w:pPr>
            <w:r>
              <w:rPr>
                <w:rFonts w:hint="eastAsia"/>
                <w:sz w:val="21"/>
                <w:szCs w:val="21"/>
              </w:rPr>
              <w:t>新铺镇</w:t>
            </w:r>
          </w:p>
        </w:tc>
        <w:tc>
          <w:tcPr>
            <w:tcW w:w="5528" w:type="dxa"/>
            <w:vAlign w:val="center"/>
          </w:tcPr>
          <w:p>
            <w:pPr>
              <w:spacing w:line="240" w:lineRule="auto"/>
              <w:ind w:firstLine="0" w:firstLineChars="0"/>
              <w:jc w:val="left"/>
              <w:rPr>
                <w:sz w:val="21"/>
                <w:szCs w:val="21"/>
              </w:rPr>
            </w:pPr>
            <w:r>
              <w:rPr>
                <w:rFonts w:hint="eastAsia"/>
                <w:sz w:val="21"/>
                <w:szCs w:val="21"/>
              </w:rPr>
              <w:t>永兴桥村、黄木岗村</w:t>
            </w:r>
          </w:p>
        </w:tc>
        <w:tc>
          <w:tcPr>
            <w:tcW w:w="953" w:type="dxa"/>
            <w:vAlign w:val="center"/>
          </w:tcPr>
          <w:p>
            <w:pPr>
              <w:spacing w:line="240" w:lineRule="auto"/>
              <w:ind w:firstLine="0" w:firstLineChars="0"/>
              <w:jc w:val="center"/>
              <w:rPr>
                <w:sz w:val="21"/>
                <w:szCs w:val="21"/>
              </w:rPr>
            </w:pPr>
            <w:r>
              <w:rPr>
                <w:sz w:val="21"/>
                <w:szCs w:val="21"/>
              </w:rPr>
              <w:t>24058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5" w:type="dxa"/>
            <w:vAlign w:val="center"/>
          </w:tcPr>
          <w:p>
            <w:pPr>
              <w:spacing w:line="240" w:lineRule="auto"/>
              <w:ind w:firstLine="0" w:firstLineChars="0"/>
              <w:jc w:val="center"/>
              <w:rPr>
                <w:sz w:val="21"/>
                <w:szCs w:val="21"/>
              </w:rPr>
            </w:pPr>
            <w:r>
              <w:rPr>
                <w:rFonts w:hint="eastAsia"/>
                <w:sz w:val="21"/>
                <w:szCs w:val="21"/>
              </w:rPr>
              <w:t>6</w:t>
            </w:r>
          </w:p>
        </w:tc>
        <w:tc>
          <w:tcPr>
            <w:tcW w:w="1559" w:type="dxa"/>
            <w:vAlign w:val="center"/>
          </w:tcPr>
          <w:p>
            <w:pPr>
              <w:spacing w:line="240" w:lineRule="auto"/>
              <w:ind w:firstLine="0" w:firstLineChars="0"/>
              <w:jc w:val="center"/>
              <w:rPr>
                <w:sz w:val="21"/>
                <w:szCs w:val="21"/>
              </w:rPr>
            </w:pPr>
            <w:r>
              <w:rPr>
                <w:rFonts w:hint="eastAsia"/>
                <w:sz w:val="21"/>
                <w:szCs w:val="21"/>
              </w:rPr>
              <w:t>三圣乡</w:t>
            </w:r>
          </w:p>
        </w:tc>
        <w:tc>
          <w:tcPr>
            <w:tcW w:w="5528" w:type="dxa"/>
            <w:vAlign w:val="center"/>
          </w:tcPr>
          <w:p>
            <w:pPr>
              <w:spacing w:line="240" w:lineRule="auto"/>
              <w:ind w:firstLine="0" w:firstLineChars="0"/>
              <w:jc w:val="left"/>
              <w:rPr>
                <w:sz w:val="21"/>
                <w:szCs w:val="21"/>
              </w:rPr>
            </w:pPr>
            <w:r>
              <w:rPr>
                <w:rFonts w:hint="eastAsia"/>
                <w:sz w:val="21"/>
                <w:szCs w:val="21"/>
              </w:rPr>
              <w:t>杜家岗社区</w:t>
            </w:r>
          </w:p>
        </w:tc>
        <w:tc>
          <w:tcPr>
            <w:tcW w:w="953" w:type="dxa"/>
            <w:vAlign w:val="center"/>
          </w:tcPr>
          <w:p>
            <w:pPr>
              <w:spacing w:line="240" w:lineRule="auto"/>
              <w:ind w:firstLine="0" w:firstLineChars="0"/>
              <w:jc w:val="center"/>
              <w:rPr>
                <w:sz w:val="21"/>
                <w:szCs w:val="21"/>
              </w:rPr>
            </w:pPr>
            <w:r>
              <w:rPr>
                <w:sz w:val="21"/>
                <w:szCs w:val="21"/>
              </w:rPr>
              <w:t>28488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5" w:type="dxa"/>
            <w:vAlign w:val="center"/>
          </w:tcPr>
          <w:p>
            <w:pPr>
              <w:spacing w:line="240" w:lineRule="auto"/>
              <w:ind w:firstLine="0" w:firstLineChars="0"/>
              <w:jc w:val="center"/>
              <w:rPr>
                <w:sz w:val="21"/>
                <w:szCs w:val="21"/>
              </w:rPr>
            </w:pPr>
            <w:r>
              <w:rPr>
                <w:rFonts w:hint="eastAsia"/>
                <w:sz w:val="21"/>
                <w:szCs w:val="21"/>
              </w:rPr>
              <w:t>7</w:t>
            </w:r>
          </w:p>
        </w:tc>
        <w:tc>
          <w:tcPr>
            <w:tcW w:w="1559" w:type="dxa"/>
            <w:vAlign w:val="center"/>
          </w:tcPr>
          <w:p>
            <w:pPr>
              <w:spacing w:line="240" w:lineRule="auto"/>
              <w:ind w:firstLine="0" w:firstLineChars="0"/>
              <w:jc w:val="center"/>
              <w:rPr>
                <w:sz w:val="21"/>
                <w:szCs w:val="21"/>
              </w:rPr>
            </w:pPr>
            <w:r>
              <w:rPr>
                <w:rFonts w:hint="eastAsia"/>
                <w:sz w:val="21"/>
                <w:szCs w:val="21"/>
              </w:rPr>
              <w:t>所街乡</w:t>
            </w:r>
          </w:p>
        </w:tc>
        <w:tc>
          <w:tcPr>
            <w:tcW w:w="5528" w:type="dxa"/>
            <w:vAlign w:val="center"/>
          </w:tcPr>
          <w:p>
            <w:pPr>
              <w:spacing w:line="240" w:lineRule="auto"/>
              <w:ind w:firstLine="0" w:firstLineChars="0"/>
              <w:jc w:val="left"/>
              <w:rPr>
                <w:sz w:val="21"/>
                <w:szCs w:val="21"/>
              </w:rPr>
            </w:pPr>
            <w:r>
              <w:rPr>
                <w:rFonts w:hint="eastAsia"/>
                <w:sz w:val="21"/>
                <w:szCs w:val="21"/>
              </w:rPr>
              <w:t>麻纳口村</w:t>
            </w:r>
          </w:p>
        </w:tc>
        <w:tc>
          <w:tcPr>
            <w:tcW w:w="953" w:type="dxa"/>
            <w:vAlign w:val="center"/>
          </w:tcPr>
          <w:p>
            <w:pPr>
              <w:spacing w:line="240" w:lineRule="auto"/>
              <w:ind w:firstLine="0" w:firstLineChars="0"/>
              <w:jc w:val="center"/>
              <w:rPr>
                <w:sz w:val="21"/>
                <w:szCs w:val="21"/>
              </w:rPr>
            </w:pPr>
            <w:r>
              <w:rPr>
                <w:sz w:val="21"/>
                <w:szCs w:val="21"/>
              </w:rPr>
              <w:t>22595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5" w:type="dxa"/>
            <w:vAlign w:val="center"/>
          </w:tcPr>
          <w:p>
            <w:pPr>
              <w:spacing w:line="240" w:lineRule="auto"/>
              <w:ind w:firstLine="0" w:firstLineChars="0"/>
              <w:jc w:val="center"/>
              <w:rPr>
                <w:sz w:val="21"/>
                <w:szCs w:val="21"/>
              </w:rPr>
            </w:pPr>
            <w:r>
              <w:rPr>
                <w:rFonts w:hint="eastAsia"/>
                <w:sz w:val="21"/>
                <w:szCs w:val="21"/>
              </w:rPr>
              <w:t>8</w:t>
            </w:r>
          </w:p>
        </w:tc>
        <w:tc>
          <w:tcPr>
            <w:tcW w:w="1559" w:type="dxa"/>
            <w:vAlign w:val="center"/>
          </w:tcPr>
          <w:p>
            <w:pPr>
              <w:spacing w:line="240" w:lineRule="auto"/>
              <w:ind w:firstLine="0" w:firstLineChars="0"/>
              <w:jc w:val="center"/>
              <w:rPr>
                <w:sz w:val="21"/>
                <w:szCs w:val="21"/>
              </w:rPr>
            </w:pPr>
            <w:r>
              <w:rPr>
                <w:rFonts w:hint="eastAsia"/>
                <w:sz w:val="21"/>
                <w:szCs w:val="21"/>
              </w:rPr>
              <w:t>白云镇</w:t>
            </w:r>
          </w:p>
        </w:tc>
        <w:tc>
          <w:tcPr>
            <w:tcW w:w="5528" w:type="dxa"/>
            <w:vAlign w:val="center"/>
          </w:tcPr>
          <w:p>
            <w:pPr>
              <w:spacing w:line="240" w:lineRule="auto"/>
              <w:ind w:firstLine="0" w:firstLineChars="0"/>
              <w:jc w:val="left"/>
              <w:rPr>
                <w:sz w:val="21"/>
                <w:szCs w:val="21"/>
              </w:rPr>
            </w:pPr>
            <w:r>
              <w:rPr>
                <w:rFonts w:hint="eastAsia"/>
                <w:sz w:val="21"/>
                <w:szCs w:val="21"/>
              </w:rPr>
              <w:t>鹤山村、望羊桥社区、白羊山村</w:t>
            </w:r>
          </w:p>
        </w:tc>
        <w:tc>
          <w:tcPr>
            <w:tcW w:w="953" w:type="dxa"/>
            <w:vAlign w:val="center"/>
          </w:tcPr>
          <w:p>
            <w:pPr>
              <w:spacing w:line="240" w:lineRule="auto"/>
              <w:ind w:firstLine="0" w:firstLineChars="0"/>
              <w:jc w:val="center"/>
              <w:rPr>
                <w:sz w:val="21"/>
                <w:szCs w:val="21"/>
              </w:rPr>
            </w:pPr>
            <w:r>
              <w:rPr>
                <w:sz w:val="21"/>
                <w:szCs w:val="21"/>
              </w:rPr>
              <w:t>22318</w:t>
            </w:r>
          </w:p>
        </w:tc>
      </w:tr>
    </w:tbl>
    <w:p>
      <w:pPr>
        <w:pStyle w:val="6"/>
        <w:spacing w:before="197" w:beforeLines="50"/>
      </w:pPr>
      <w:r>
        <w:rPr>
          <w:rFonts w:hint="eastAsia"/>
        </w:rPr>
        <w:t>社会经济</w:t>
      </w:r>
    </w:p>
    <w:p>
      <w:pPr>
        <w:ind w:firstLine="560"/>
        <w:rPr>
          <w:rFonts w:cs="Times New Roman"/>
        </w:rPr>
      </w:pPr>
      <w:r>
        <w:rPr>
          <w:rFonts w:hint="eastAsia" w:cs="Times New Roman"/>
        </w:rPr>
        <w:t>仙阳湖国家湿地公园位于石门县，石门县隶属于湖南省常德市，地处湘鄂交接，东望洞庭湖，南接桃花源，西邻张家界，北连长江三峡，</w:t>
      </w:r>
      <w:r>
        <w:rPr>
          <w:rFonts w:hint="eastAsia" w:ascii="仿宋" w:hAnsi="仿宋" w:cs="仿宋"/>
        </w:rPr>
        <w:t>有“武陵门户”与“潇湘北极”之称</w:t>
      </w:r>
      <w:r>
        <w:rPr>
          <w:rFonts w:hint="eastAsia" w:cs="Times New Roman"/>
        </w:rPr>
        <w:t>。仙阳湖国家湿地公园位于石门县，石门县隶属于湖南省常德市，地处湘鄂交接，东望洞庭湖，南接桃花源，西邻张家界，北连长江三峡，有“武陵门户”与“潇湘北极”之称。根据《石门县2022年国民经济和社会发展统计公报》，202</w:t>
      </w:r>
      <w:r>
        <w:rPr>
          <w:rFonts w:cs="Times New Roman"/>
        </w:rPr>
        <w:t>2</w:t>
      </w:r>
      <w:r>
        <w:rPr>
          <w:rFonts w:hint="eastAsia" w:cs="Times New Roman"/>
        </w:rPr>
        <w:t>年末，全县总户数229451户，户籍总人口652044人，其中城镇人口231249人，乡村人口420795人。全年出生人口</w:t>
      </w:r>
      <w:r>
        <w:rPr>
          <w:rFonts w:cs="Times New Roman"/>
        </w:rPr>
        <w:t>3207</w:t>
      </w:r>
      <w:r>
        <w:rPr>
          <w:rFonts w:hint="eastAsia" w:cs="Times New Roman"/>
        </w:rPr>
        <w:t>人，人口出生率</w:t>
      </w:r>
      <w:r>
        <w:rPr>
          <w:rFonts w:cs="Times New Roman"/>
        </w:rPr>
        <w:t>4.61</w:t>
      </w:r>
      <w:r>
        <w:rPr>
          <w:rFonts w:hint="eastAsia" w:cs="Times New Roman"/>
        </w:rPr>
        <w:t>‰；全年死亡人口</w:t>
      </w:r>
      <w:r>
        <w:rPr>
          <w:rFonts w:cs="Times New Roman"/>
        </w:rPr>
        <w:t>6070</w:t>
      </w:r>
      <w:r>
        <w:rPr>
          <w:rFonts w:hint="eastAsia" w:cs="Times New Roman"/>
        </w:rPr>
        <w:t>人，死亡率</w:t>
      </w:r>
      <w:r>
        <w:rPr>
          <w:rFonts w:cs="Times New Roman"/>
        </w:rPr>
        <w:t>8.72</w:t>
      </w:r>
      <w:r>
        <w:rPr>
          <w:rFonts w:hint="eastAsia" w:cs="Times New Roman"/>
        </w:rPr>
        <w:t>‰；全年减少人口</w:t>
      </w:r>
      <w:r>
        <w:rPr>
          <w:rFonts w:cs="Times New Roman"/>
        </w:rPr>
        <w:t>2863</w:t>
      </w:r>
      <w:r>
        <w:rPr>
          <w:rFonts w:hint="eastAsia" w:cs="Times New Roman"/>
        </w:rPr>
        <w:t>人，人口自然增长率</w:t>
      </w:r>
      <w:r>
        <w:rPr>
          <w:rFonts w:cs="Times New Roman"/>
        </w:rPr>
        <w:t>-4.11</w:t>
      </w:r>
      <w:r>
        <w:rPr>
          <w:rFonts w:hint="eastAsia" w:cs="Times New Roman"/>
        </w:rPr>
        <w:t>‰。202</w:t>
      </w:r>
      <w:r>
        <w:rPr>
          <w:rFonts w:cs="Times New Roman"/>
        </w:rPr>
        <w:t>2</w:t>
      </w:r>
      <w:r>
        <w:rPr>
          <w:rFonts w:hint="eastAsia" w:cs="Times New Roman"/>
        </w:rPr>
        <w:t>年全年完成地区生产总值</w:t>
      </w:r>
      <w:r>
        <w:rPr>
          <w:rFonts w:cs="Times New Roman"/>
        </w:rPr>
        <w:t>360.32</w:t>
      </w:r>
      <w:r>
        <w:rPr>
          <w:rFonts w:hint="eastAsia" w:cs="Times New Roman"/>
        </w:rPr>
        <w:t>亿元，比上年增长</w:t>
      </w:r>
      <w:r>
        <w:rPr>
          <w:rFonts w:cs="Times New Roman"/>
        </w:rPr>
        <w:t>5.8</w:t>
      </w:r>
      <w:r>
        <w:rPr>
          <w:rFonts w:hint="eastAsia" w:cs="Times New Roman"/>
        </w:rPr>
        <w:t>%。其中，第一产业增加值54.53亿元，增长3.4%；第二产业增加值131.18亿元，增长6.3%；第三产业增加值174.61亿元，增长6.1%。一、二、三产业对GDP增长的贡献率分别为9.9%、39.1%和51.0%，分别拉动经济增长0.6、2.3和2.9个百分点。全县城乡居民年人均可支配收入为</w:t>
      </w:r>
      <w:r>
        <w:rPr>
          <w:rFonts w:cs="Times New Roman"/>
        </w:rPr>
        <w:t>23240</w:t>
      </w:r>
      <w:r>
        <w:rPr>
          <w:rFonts w:hint="eastAsia" w:cs="Times New Roman"/>
        </w:rPr>
        <w:t>元，增长</w:t>
      </w:r>
      <w:r>
        <w:rPr>
          <w:rFonts w:cs="Times New Roman"/>
        </w:rPr>
        <w:t>6.9</w:t>
      </w:r>
      <w:r>
        <w:rPr>
          <w:rFonts w:hint="eastAsia" w:cs="Times New Roman"/>
        </w:rPr>
        <w:t>%。</w:t>
      </w:r>
    </w:p>
    <w:p>
      <w:pPr>
        <w:pStyle w:val="5"/>
        <w:spacing w:before="197"/>
      </w:pPr>
      <w:bookmarkStart w:id="91" w:name="_Toc2408"/>
      <w:bookmarkStart w:id="92" w:name="_Toc1221"/>
      <w:bookmarkStart w:id="93" w:name="_Toc114084632"/>
      <w:bookmarkStart w:id="94" w:name="_Toc117114359"/>
      <w:bookmarkStart w:id="95" w:name="_Toc113925452"/>
      <w:bookmarkStart w:id="96" w:name="_Toc113925704"/>
      <w:r>
        <w:rPr>
          <w:rFonts w:hint="eastAsia"/>
        </w:rPr>
        <w:t>基础设施条件</w:t>
      </w:r>
      <w:bookmarkEnd w:id="91"/>
      <w:bookmarkEnd w:id="92"/>
      <w:bookmarkEnd w:id="93"/>
      <w:bookmarkEnd w:id="94"/>
      <w:bookmarkEnd w:id="95"/>
      <w:bookmarkEnd w:id="96"/>
    </w:p>
    <w:p>
      <w:pPr>
        <w:pStyle w:val="6"/>
        <w:numPr>
          <w:ilvl w:val="2"/>
          <w:numId w:val="17"/>
        </w:numPr>
      </w:pPr>
      <w:bookmarkStart w:id="97" w:name="_Toc113925705"/>
      <w:bookmarkStart w:id="98" w:name="_Toc113925453"/>
      <w:r>
        <w:rPr>
          <w:rFonts w:hint="eastAsia"/>
        </w:rPr>
        <w:t>道路交通</w:t>
      </w:r>
      <w:bookmarkEnd w:id="97"/>
      <w:bookmarkEnd w:id="98"/>
    </w:p>
    <w:p>
      <w:pPr>
        <w:ind w:firstLine="560"/>
        <w:rPr>
          <w:rFonts w:cs="Times New Roman"/>
        </w:rPr>
      </w:pPr>
      <w:r>
        <w:rPr>
          <w:rFonts w:hint="eastAsia" w:cs="Times New Roman"/>
        </w:rPr>
        <w:t>石门县区位优势明显，交通发达。</w:t>
      </w:r>
    </w:p>
    <w:p>
      <w:pPr>
        <w:ind w:firstLine="560"/>
        <w:rPr>
          <w:rFonts w:cs="Times New Roman"/>
        </w:rPr>
      </w:pPr>
      <w:r>
        <w:rPr>
          <w:rFonts w:hint="eastAsia" w:cs="Times New Roman"/>
        </w:rPr>
        <w:t>铁路：焦（焦作）—柳（柳州）线横贯县境，石（石门）—长（长沙）线与焦柳线在石门形成县城T型交汇，洛（洛阳）—湛（湛江）线途经石门，三条主干线设计年货运量分别为1500万吨、1900万吨、5000万吨，襄（襄樊）—石（石门）复线货运量可达3200万吨。境内设有石门县站、石门北站、石门南站、七松站四座火车站，铁路运输十分便利，客运可直达北京、上海、广州等城市。</w:t>
      </w:r>
    </w:p>
    <w:p>
      <w:pPr>
        <w:ind w:firstLine="560"/>
        <w:rPr>
          <w:rFonts w:cs="Times New Roman"/>
        </w:rPr>
      </w:pPr>
      <w:r>
        <w:rPr>
          <w:rFonts w:hint="eastAsia" w:cs="Times New Roman"/>
        </w:rPr>
        <w:t>公路：炉慈高速连通湘鄂两省，是湖南省规划的“七纵七横”高速公路网的重要组成部分，横跨仙阳湖贯穿石门太平、大同山、维新、白云龙王洞等乡镇和景点，主线长80公里，在仙阳湖国家湿地公园有维新和龙王洞2处高速出入口。石门距207国道澧县段25公里，距安慈高速入口2公里。全县共有省道600多公里，S303、S304、S237三条省道贯穿县境；有县、乡道2000多公里，90%以上的乡镇实现了乡乡通油路；有村道6000多公里。</w:t>
      </w:r>
    </w:p>
    <w:p>
      <w:pPr>
        <w:ind w:firstLine="560"/>
        <w:rPr>
          <w:rFonts w:cs="Times New Roman"/>
        </w:rPr>
      </w:pPr>
      <w:r>
        <w:rPr>
          <w:rFonts w:hint="eastAsia" w:cs="Times New Roman"/>
        </w:rPr>
        <w:t>航空：石门至张家界国际机场130公里，可直达深圳、海南、昆明、重庆、北京等地。石门至常德机场115公里。</w:t>
      </w:r>
    </w:p>
    <w:p>
      <w:pPr>
        <w:ind w:firstLine="560"/>
        <w:rPr>
          <w:rFonts w:cs="Times New Roman"/>
        </w:rPr>
      </w:pPr>
      <w:r>
        <w:rPr>
          <w:rFonts w:hint="eastAsia" w:cs="Times New Roman"/>
        </w:rPr>
        <w:t>水运：在石门境内建有闫家坝水运码头，最大吨位为100吨级。丰水期可直接从石门下船，枯水期可从澧县阳湖口码头或津市竹木坪码头下船（距石门60公里），经洞庭湖入长江。</w:t>
      </w:r>
    </w:p>
    <w:p>
      <w:pPr>
        <w:pStyle w:val="6"/>
        <w:numPr>
          <w:ilvl w:val="2"/>
          <w:numId w:val="17"/>
        </w:numPr>
        <w:rPr>
          <w:rFonts w:ascii="黑体" w:hAnsi="黑体" w:cs="黑体"/>
          <w:bCs/>
          <w:szCs w:val="28"/>
        </w:rPr>
      </w:pPr>
      <w:bookmarkStart w:id="99" w:name="_Toc113925706"/>
      <w:bookmarkStart w:id="100" w:name="_Toc113925454"/>
      <w:r>
        <w:rPr>
          <w:rFonts w:hint="eastAsia" w:ascii="黑体" w:hAnsi="黑体" w:cs="黑体"/>
          <w:bCs/>
          <w:szCs w:val="28"/>
        </w:rPr>
        <w:t>通讯条件</w:t>
      </w:r>
      <w:bookmarkEnd w:id="99"/>
      <w:bookmarkEnd w:id="100"/>
    </w:p>
    <w:p>
      <w:pPr>
        <w:ind w:firstLine="560"/>
        <w:rPr>
          <w:rFonts w:cs="Times New Roman"/>
        </w:rPr>
      </w:pPr>
      <w:r>
        <w:rPr>
          <w:rFonts w:hint="eastAsia" w:cs="Times New Roman"/>
        </w:rPr>
        <w:t>仙阳湖国家湿地公园内通讯条件相对较好，中国移动、中国电信、中国联通信号实现了全覆盖。</w:t>
      </w:r>
    </w:p>
    <w:p>
      <w:pPr>
        <w:pStyle w:val="5"/>
        <w:numPr>
          <w:ilvl w:val="1"/>
          <w:numId w:val="17"/>
        </w:numPr>
        <w:spacing w:before="197"/>
      </w:pPr>
      <w:bookmarkStart w:id="101" w:name="_Toc3122"/>
      <w:bookmarkStart w:id="102" w:name="_Toc114084633"/>
      <w:bookmarkStart w:id="103" w:name="_Toc117114360"/>
      <w:bookmarkStart w:id="104" w:name="_Toc113925707"/>
      <w:bookmarkStart w:id="105" w:name="_Toc19719"/>
      <w:bookmarkStart w:id="106" w:name="_Toc113925455"/>
      <w:r>
        <w:rPr>
          <w:rFonts w:hint="eastAsia"/>
        </w:rPr>
        <w:t>土地利用现状</w:t>
      </w:r>
      <w:bookmarkEnd w:id="101"/>
      <w:bookmarkEnd w:id="102"/>
      <w:bookmarkEnd w:id="103"/>
      <w:bookmarkEnd w:id="104"/>
      <w:bookmarkEnd w:id="105"/>
      <w:bookmarkEnd w:id="106"/>
    </w:p>
    <w:p>
      <w:pPr>
        <w:pStyle w:val="6"/>
        <w:numPr>
          <w:ilvl w:val="2"/>
          <w:numId w:val="18"/>
        </w:numPr>
        <w:rPr>
          <w:rFonts w:ascii="黑体" w:hAnsi="黑体" w:cs="黑体"/>
          <w:bCs/>
          <w:szCs w:val="28"/>
        </w:rPr>
      </w:pPr>
      <w:bookmarkStart w:id="107" w:name="_Toc113925456"/>
      <w:bookmarkStart w:id="108" w:name="_Toc113925708"/>
      <w:r>
        <w:rPr>
          <w:rFonts w:hint="eastAsia" w:ascii="黑体" w:hAnsi="黑体" w:cs="黑体"/>
          <w:bCs/>
          <w:szCs w:val="28"/>
        </w:rPr>
        <w:t>土地利用情况</w:t>
      </w:r>
      <w:bookmarkEnd w:id="107"/>
      <w:bookmarkEnd w:id="108"/>
    </w:p>
    <w:p>
      <w:pPr>
        <w:ind w:firstLine="560"/>
        <w:rPr>
          <w:rFonts w:cs="Times New Roman"/>
        </w:rPr>
      </w:pPr>
      <w:r>
        <w:rPr>
          <w:rFonts w:cs="Times New Roman"/>
          <w:szCs w:val="28"/>
          <w:lang w:val="zh-TW" w:bidi="ar"/>
        </w:rPr>
        <w:t>依据《国土空间调查、规划、用途管制用地用海分类指南（试行）》（</w:t>
      </w:r>
      <w:r>
        <w:rPr>
          <w:rFonts w:hint="eastAsia" w:cs="Times New Roman"/>
          <w:szCs w:val="28"/>
          <w:lang w:val="zh-TW" w:bidi="ar"/>
        </w:rPr>
        <w:t>自然资办发〔2020〕51号</w:t>
      </w:r>
      <w:r>
        <w:rPr>
          <w:rFonts w:cs="Times New Roman"/>
          <w:szCs w:val="28"/>
          <w:lang w:val="zh-TW" w:bidi="ar"/>
        </w:rPr>
        <w:t>）</w:t>
      </w:r>
      <w:r>
        <w:rPr>
          <w:rFonts w:hint="eastAsia" w:cs="Times New Roman"/>
          <w:szCs w:val="28"/>
          <w:lang w:val="zh-TW" w:bidi="ar"/>
        </w:rPr>
        <w:t>和国土三调数据</w:t>
      </w:r>
      <w:r>
        <w:rPr>
          <w:rFonts w:hint="eastAsia" w:cs="Times New Roman"/>
        </w:rPr>
        <w:t>分析，仙阳湖国家湿地公园土地总面积</w:t>
      </w:r>
      <w:r>
        <w:rPr>
          <w:rFonts w:cs="Times New Roman"/>
        </w:rPr>
        <w:t>9386.58</w:t>
      </w:r>
      <w:r>
        <w:rPr>
          <w:rFonts w:hint="eastAsia" w:cs="Times New Roman"/>
        </w:rPr>
        <w:t>公顷，其中耕地</w:t>
      </w:r>
      <w:r>
        <w:rPr>
          <w:rFonts w:cs="Times New Roman"/>
        </w:rPr>
        <w:t>99.09</w:t>
      </w:r>
      <w:r>
        <w:rPr>
          <w:rFonts w:hint="eastAsia" w:cs="Times New Roman"/>
        </w:rPr>
        <w:t>公顷，园地</w:t>
      </w:r>
      <w:r>
        <w:rPr>
          <w:rFonts w:cs="Times New Roman"/>
        </w:rPr>
        <w:t>97.44</w:t>
      </w:r>
      <w:r>
        <w:rPr>
          <w:rFonts w:hint="eastAsia" w:cs="Times New Roman"/>
        </w:rPr>
        <w:t>公顷，林地</w:t>
      </w:r>
      <w:r>
        <w:rPr>
          <w:rFonts w:cs="Times New Roman"/>
        </w:rPr>
        <w:t>4208.1</w:t>
      </w:r>
      <w:r>
        <w:rPr>
          <w:rFonts w:hint="eastAsia" w:cs="Times New Roman"/>
        </w:rPr>
        <w:t>公顷，湿地</w:t>
      </w:r>
      <w:r>
        <w:rPr>
          <w:rFonts w:cs="Times New Roman"/>
        </w:rPr>
        <w:t>1249.6</w:t>
      </w:r>
      <w:r>
        <w:rPr>
          <w:rFonts w:hint="eastAsia" w:cs="Times New Roman"/>
        </w:rPr>
        <w:t>公顷，草地1</w:t>
      </w:r>
      <w:r>
        <w:rPr>
          <w:rFonts w:cs="Times New Roman"/>
        </w:rPr>
        <w:t>.22</w:t>
      </w:r>
      <w:r>
        <w:rPr>
          <w:rFonts w:hint="eastAsia" w:cs="Times New Roman"/>
        </w:rPr>
        <w:t>公顷，农业设施建设用地</w:t>
      </w:r>
      <w:r>
        <w:rPr>
          <w:rFonts w:cs="Times New Roman"/>
        </w:rPr>
        <w:t>12.77</w:t>
      </w:r>
      <w:r>
        <w:rPr>
          <w:rFonts w:hint="eastAsia" w:cs="Times New Roman"/>
        </w:rPr>
        <w:t>公顷，商业服务业用地</w:t>
      </w:r>
      <w:r>
        <w:rPr>
          <w:rFonts w:cs="Times New Roman"/>
        </w:rPr>
        <w:t>1.26</w:t>
      </w:r>
      <w:r>
        <w:rPr>
          <w:rFonts w:hint="eastAsia" w:cs="Times New Roman"/>
        </w:rPr>
        <w:t>公顷，工矿用地5</w:t>
      </w:r>
      <w:r>
        <w:rPr>
          <w:rFonts w:cs="Times New Roman"/>
        </w:rPr>
        <w:t>.85</w:t>
      </w:r>
      <w:r>
        <w:rPr>
          <w:rFonts w:hint="eastAsia" w:cs="Times New Roman"/>
        </w:rPr>
        <w:t>公顷，住宅用地</w:t>
      </w:r>
      <w:r>
        <w:rPr>
          <w:rFonts w:cs="Times New Roman"/>
        </w:rPr>
        <w:t>10.86</w:t>
      </w:r>
      <w:r>
        <w:rPr>
          <w:rFonts w:hint="eastAsia" w:cs="Times New Roman"/>
        </w:rPr>
        <w:t>公顷，公共管理与公共服务用地</w:t>
      </w:r>
      <w:r>
        <w:rPr>
          <w:rFonts w:cs="Times New Roman"/>
        </w:rPr>
        <w:t>5.30</w:t>
      </w:r>
      <w:r>
        <w:rPr>
          <w:rFonts w:hint="eastAsia" w:cs="Times New Roman"/>
        </w:rPr>
        <w:t>公顷，特殊用地0</w:t>
      </w:r>
      <w:r>
        <w:rPr>
          <w:rFonts w:cs="Times New Roman"/>
        </w:rPr>
        <w:t>.72</w:t>
      </w:r>
      <w:r>
        <w:rPr>
          <w:rFonts w:hint="eastAsia" w:cs="Times New Roman"/>
        </w:rPr>
        <w:t>公顷，交通运输用地</w:t>
      </w:r>
      <w:r>
        <w:rPr>
          <w:rFonts w:cs="Times New Roman"/>
        </w:rPr>
        <w:t>28.39</w:t>
      </w:r>
      <w:r>
        <w:rPr>
          <w:rFonts w:hint="eastAsia" w:cs="Times New Roman"/>
        </w:rPr>
        <w:t>公顷，陆地水域</w:t>
      </w:r>
      <w:r>
        <w:rPr>
          <w:rFonts w:cs="Times New Roman"/>
        </w:rPr>
        <w:t>3658.25</w:t>
      </w:r>
      <w:r>
        <w:rPr>
          <w:rFonts w:hint="eastAsia" w:cs="Times New Roman"/>
        </w:rPr>
        <w:t>公顷，其他土地</w:t>
      </w:r>
      <w:r>
        <w:rPr>
          <w:rFonts w:cs="Times New Roman"/>
        </w:rPr>
        <w:t>7.72</w:t>
      </w:r>
      <w:r>
        <w:rPr>
          <w:rFonts w:hint="eastAsia" w:cs="Times New Roman"/>
        </w:rPr>
        <w:t>公顷，仓储用地</w:t>
      </w:r>
      <w:r>
        <w:rPr>
          <w:rFonts w:cs="Times New Roman"/>
        </w:rPr>
        <w:t>0.01</w:t>
      </w:r>
      <w:r>
        <w:rPr>
          <w:rFonts w:hint="eastAsia" w:cs="Times New Roman"/>
        </w:rPr>
        <w:t>公顷</w:t>
      </w:r>
      <w:r>
        <w:rPr>
          <w:rFonts w:hint="eastAsia"/>
        </w:rPr>
        <w:t>，</w:t>
      </w:r>
      <w:r>
        <w:rPr>
          <w:rFonts w:hint="eastAsia" w:cs="Times New Roman"/>
        </w:rPr>
        <w:t>详见附图7：土地利用现状图。</w:t>
      </w:r>
    </w:p>
    <w:p>
      <w:pPr>
        <w:pStyle w:val="6"/>
        <w:numPr>
          <w:ilvl w:val="2"/>
          <w:numId w:val="18"/>
        </w:numPr>
      </w:pPr>
      <w:bookmarkStart w:id="109" w:name="_Toc113925709"/>
      <w:bookmarkStart w:id="110" w:name="_Toc113925457"/>
      <w:r>
        <w:rPr>
          <w:rFonts w:hint="eastAsia"/>
        </w:rPr>
        <w:t>土地权属</w:t>
      </w:r>
      <w:bookmarkEnd w:id="109"/>
      <w:bookmarkEnd w:id="110"/>
    </w:p>
    <w:p>
      <w:pPr>
        <w:ind w:firstLine="560"/>
        <w:rPr>
          <w:rFonts w:cs="Times New Roman"/>
        </w:rPr>
      </w:pPr>
      <w:r>
        <w:rPr>
          <w:rFonts w:hint="eastAsia" w:cs="Times New Roman"/>
        </w:rPr>
        <w:t>仙阳湖国家湿地公园内的湿地、陆地水域、林地属国有土地；耕地、园地等为集体所有。公园范围内土地权属主体明确，无权属争议。</w:t>
      </w:r>
    </w:p>
    <w:p>
      <w:pPr>
        <w:pStyle w:val="5"/>
        <w:spacing w:before="197"/>
      </w:pPr>
      <w:bookmarkStart w:id="111" w:name="_Toc113925458"/>
      <w:bookmarkStart w:id="112" w:name="_Toc8053"/>
      <w:bookmarkStart w:id="113" w:name="_Toc6436"/>
      <w:bookmarkStart w:id="114" w:name="_Toc117114361"/>
      <w:bookmarkStart w:id="115" w:name="_Toc113925710"/>
      <w:bookmarkStart w:id="116" w:name="_Toc114084634"/>
      <w:r>
        <w:rPr>
          <w:rFonts w:hint="eastAsia"/>
        </w:rPr>
        <w:t>历史沿革</w:t>
      </w:r>
      <w:bookmarkEnd w:id="111"/>
      <w:bookmarkEnd w:id="112"/>
      <w:bookmarkEnd w:id="113"/>
      <w:bookmarkEnd w:id="114"/>
      <w:bookmarkEnd w:id="115"/>
      <w:bookmarkEnd w:id="116"/>
    </w:p>
    <w:p>
      <w:pPr>
        <w:ind w:firstLine="560"/>
        <w:rPr>
          <w:rFonts w:cs="Times New Roman"/>
        </w:rPr>
      </w:pPr>
      <w:r>
        <w:rPr>
          <w:rFonts w:hint="eastAsia" w:cs="Times New Roman"/>
        </w:rPr>
        <w:t>（1）石门县历史沿革</w:t>
      </w:r>
    </w:p>
    <w:p>
      <w:pPr>
        <w:ind w:firstLine="560"/>
        <w:rPr>
          <w:rFonts w:cs="Times New Roman"/>
        </w:rPr>
      </w:pPr>
      <w:r>
        <w:rPr>
          <w:rFonts w:hint="eastAsia" w:cs="Times New Roman"/>
        </w:rPr>
        <w:t>石门，自南北朝置石门郡始，已有1400多年的历史。县名来历传说不一，主要有三。一曰：县城以东二里处两岩壁立如门；一曰：县城以西三里地杨岭岗与新街口附近之石山，隔河对峙似门；一曰：县城以西15里处有岩门口。三者虽方位、距离不同，但都说明系地形特征而得名。县城古为荆楚之地，秦隶黔中郡慈姑县，汉属武陵郡零阳县，三国吴永安六年（公元263年）改隶天门郡，晋属天门郡澧阳县（西北部曾置渫阳县），南北朝时天门郡治迁石门，陈文帝天嘉二年（公元561年）罢天门郡，更置石门郡，隋文帝开皇九年（公元589年），废石门郡，建石门县，划归澧州管辖。此后，虽隶属有变，而县名未易。</w:t>
      </w:r>
    </w:p>
    <w:p>
      <w:pPr>
        <w:ind w:firstLine="560"/>
        <w:rPr>
          <w:rFonts w:cs="Times New Roman"/>
        </w:rPr>
      </w:pPr>
      <w:r>
        <w:rPr>
          <w:rFonts w:hint="eastAsia" w:cs="Times New Roman"/>
        </w:rPr>
        <w:t>（2）湿地公园历史沿革</w:t>
      </w:r>
    </w:p>
    <w:p>
      <w:pPr>
        <w:ind w:firstLine="560"/>
        <w:rPr>
          <w:rFonts w:cs="Times New Roman"/>
          <w:szCs w:val="28"/>
        </w:rPr>
      </w:pPr>
      <w:r>
        <w:rPr>
          <w:rFonts w:hint="eastAsia" w:cs="Times New Roman"/>
          <w:szCs w:val="28"/>
        </w:rPr>
        <w:t>仙阳湖（皂市水库）位于洞庭湖水系澧水支流渫水下游，该区域处于长江流域最大的五峰、鹤峰暴雨区，洪水汇集迅速，峰高势猛，致使澧水流域特别是中下游地区洪涝灾害频繁，对该地区人民群众的生命财产安全造成极大的威胁，制约了当地社会经济的发展，防洪问题十分突出。为了提高仙阳湖下游松澧地区防洪标准，减轻澧水尾闾地区的洪水灾害和西洞庭湖的防洪压力。</w:t>
      </w:r>
      <w:r>
        <w:rPr>
          <w:rFonts w:cs="Times New Roman"/>
          <w:szCs w:val="28"/>
        </w:rPr>
        <w:t>2004</w:t>
      </w:r>
      <w:r>
        <w:rPr>
          <w:rFonts w:hint="eastAsia" w:cs="Times New Roman"/>
          <w:szCs w:val="28"/>
        </w:rPr>
        <w:t>年国家正式兴建皂市水库水利枢纽工程，2007年开始蓄水发电，坝址距石门县城19公里。该工程以防汛为主，兼有发电、灌溉、航运、旅游等综合效益，总投资32.5亿元。</w:t>
      </w:r>
    </w:p>
    <w:p>
      <w:pPr>
        <w:ind w:firstLine="560"/>
        <w:rPr>
          <w:rFonts w:cs="Times New Roman"/>
        </w:rPr>
      </w:pPr>
      <w:r>
        <w:rPr>
          <w:rFonts w:hint="eastAsia" w:cs="Times New Roman"/>
        </w:rPr>
        <w:t>为了贯彻落实生态文明建设战略和国家主体功能区建设战略，积极推动石门县国家主体功能区建设试点示范县建设，贯彻落实国务院办公厅《关于加强湿地保护管理的通知》（国办发〔2004〕50号）、国家林草局2005年下发的《关于做好湿地公园发展建设工作的通知》（林护发〔2005〕118号）和《湿地保护管理规定》（国家林业局第32号令）的精神，有效保护石门县一半以上的重要湿地，确保仙阳湖湿地的生态安全，打造石门县良好的生态屏障，有效保护湿地及生物多样性，弘扬湿地文化，满足人民群众日益增长的物质文化生活和旅游产业发展的需要，促进社会主义新农村建设，构建和谐社会和推动生态文明建设，石门县人民政府高瞻远瞩，顺时应势地提出了建设湖南石门仙阳湖国家湿地公园。</w:t>
      </w:r>
    </w:p>
    <w:p>
      <w:pPr>
        <w:ind w:firstLine="560"/>
        <w:rPr>
          <w:rFonts w:cs="Times New Roman"/>
        </w:rPr>
      </w:pPr>
      <w:r>
        <w:rPr>
          <w:rFonts w:cs="Times New Roman"/>
        </w:rPr>
        <w:t>2014</w:t>
      </w:r>
      <w:r>
        <w:rPr>
          <w:rFonts w:hint="eastAsia" w:cs="Times New Roman"/>
        </w:rPr>
        <w:t>年，国家林草局下发《国家林业局关于同意北京房山长沟泉水等140处湿地开展国家湿地公园试点工作的通知》（林湿发〔2014〕205号），同意仙阳湖国家湿地公园开展试点公园。试点6年时间内，湿地公园管理部门按照总体规划和国家关于国家湿地公园试点建设的要求，在国家林草局、湖南省林业局的指导下，仙阳湖国家湿地公园在湿地资源保护等方面取得了显著的进展，各项试点建设任务全面完成。20</w:t>
      </w:r>
      <w:r>
        <w:rPr>
          <w:rFonts w:cs="Times New Roman"/>
        </w:rPr>
        <w:t>20</w:t>
      </w:r>
      <w:r>
        <w:rPr>
          <w:rFonts w:hint="eastAsia" w:cs="Times New Roman"/>
        </w:rPr>
        <w:t>年，国家林草局下发《国家林业和草原局关于2020年国家湿地公园试点验收结果的通知》（林湿发〔</w:t>
      </w:r>
      <w:r>
        <w:rPr>
          <w:rFonts w:cs="Times New Roman"/>
        </w:rPr>
        <w:t>2020</w:t>
      </w:r>
      <w:r>
        <w:rPr>
          <w:rFonts w:hint="eastAsia" w:cs="Times New Roman"/>
        </w:rPr>
        <w:t>〕</w:t>
      </w:r>
      <w:r>
        <w:rPr>
          <w:rFonts w:cs="Times New Roman"/>
        </w:rPr>
        <w:t>11</w:t>
      </w:r>
      <w:r>
        <w:rPr>
          <w:rFonts w:hint="eastAsia" w:cs="Times New Roman"/>
        </w:rPr>
        <w:t>9号），仙阳湖国家湿地公园建设通过国家验收。</w:t>
      </w:r>
    </w:p>
    <w:p>
      <w:pPr>
        <w:pStyle w:val="4"/>
        <w:numPr>
          <w:ilvl w:val="0"/>
          <w:numId w:val="18"/>
        </w:numPr>
        <w:spacing w:after="395"/>
        <w:ind w:left="0" w:firstLine="0"/>
      </w:pPr>
      <w:bookmarkStart w:id="117" w:name="_Toc114084635"/>
      <w:bookmarkStart w:id="118" w:name="_Toc117114362"/>
      <w:bookmarkStart w:id="119" w:name="_Toc31951"/>
      <w:bookmarkStart w:id="120" w:name="_Toc113925712"/>
      <w:bookmarkStart w:id="121" w:name="_Toc10944"/>
      <w:bookmarkStart w:id="122" w:name="_Toc113925460"/>
      <w:r>
        <w:rPr>
          <w:rFonts w:hint="eastAsia"/>
        </w:rPr>
        <w:t>湿地资源</w:t>
      </w:r>
      <w:bookmarkEnd w:id="117"/>
      <w:bookmarkEnd w:id="118"/>
      <w:bookmarkEnd w:id="119"/>
      <w:bookmarkEnd w:id="120"/>
      <w:bookmarkEnd w:id="121"/>
      <w:bookmarkEnd w:id="122"/>
    </w:p>
    <w:p>
      <w:pPr>
        <w:pStyle w:val="5"/>
        <w:numPr>
          <w:ilvl w:val="1"/>
          <w:numId w:val="18"/>
        </w:numPr>
        <w:spacing w:before="197"/>
      </w:pPr>
      <w:bookmarkStart w:id="123" w:name="_Toc113925461"/>
      <w:bookmarkStart w:id="124" w:name="_Toc114084636"/>
      <w:bookmarkStart w:id="125" w:name="_Toc4861"/>
      <w:bookmarkStart w:id="126" w:name="_Toc117114363"/>
      <w:bookmarkStart w:id="127" w:name="_Toc13451"/>
      <w:bookmarkStart w:id="128" w:name="_Toc113925713"/>
      <w:r>
        <w:rPr>
          <w:rFonts w:hint="eastAsia"/>
        </w:rPr>
        <w:t>湿地类型、面积与分布</w:t>
      </w:r>
      <w:bookmarkEnd w:id="123"/>
      <w:bookmarkEnd w:id="124"/>
      <w:bookmarkEnd w:id="125"/>
      <w:bookmarkEnd w:id="126"/>
      <w:bookmarkEnd w:id="127"/>
      <w:bookmarkEnd w:id="128"/>
    </w:p>
    <w:p>
      <w:pPr>
        <w:pStyle w:val="6"/>
        <w:numPr>
          <w:ilvl w:val="2"/>
          <w:numId w:val="18"/>
        </w:numPr>
      </w:pPr>
      <w:bookmarkStart w:id="129" w:name="_Toc113925462"/>
      <w:bookmarkStart w:id="130" w:name="_Toc113925714"/>
      <w:r>
        <w:rPr>
          <w:rFonts w:hint="eastAsia"/>
        </w:rPr>
        <w:t>湿地类型</w:t>
      </w:r>
      <w:bookmarkEnd w:id="129"/>
      <w:bookmarkEnd w:id="130"/>
    </w:p>
    <w:p>
      <w:pPr>
        <w:ind w:firstLine="560"/>
        <w:rPr>
          <w:rFonts w:ascii="仿宋" w:hAnsi="仿宋" w:cs="仿宋"/>
        </w:rPr>
      </w:pPr>
      <w:r>
        <w:rPr>
          <w:rFonts w:hint="eastAsia" w:ascii="仿宋" w:hAnsi="仿宋" w:cs="仿宋"/>
        </w:rPr>
        <w:t>仙阳湖国家湿地公园湿地资源丰富，类型多样，参照《全国湿地资源调查技术规程（试行）》的分类系统，结合湖南省第二次湿地资源调查和现场实际调查结果，仙阳湖国家湿地公园内湿地主要分类河流湿地、沼泽湿地、人工湿地三大湿地类，以及永久性河流、洪泛平原湿地、森林沼泽、库塘四大湿地型。</w:t>
      </w:r>
    </w:p>
    <w:p>
      <w:pPr>
        <w:pStyle w:val="47"/>
        <w:numPr>
          <w:ilvl w:val="255"/>
          <w:numId w:val="0"/>
        </w:numPr>
        <w:ind w:firstLine="560" w:firstLineChars="200"/>
        <w:rPr>
          <w:rFonts w:ascii="仿宋" w:hAnsi="仿宋" w:cs="仿宋"/>
        </w:rPr>
      </w:pPr>
      <w:r>
        <w:rPr>
          <w:rFonts w:hint="eastAsia" w:ascii="仿宋" w:hAnsi="仿宋" w:cs="仿宋"/>
        </w:rPr>
        <w:t>（1）河流湿地</w:t>
      </w:r>
    </w:p>
    <w:p>
      <w:pPr>
        <w:ind w:firstLine="560"/>
        <w:rPr>
          <w:rFonts w:ascii="仿宋" w:hAnsi="仿宋" w:cs="仿宋"/>
        </w:rPr>
      </w:pPr>
      <w:r>
        <w:rPr>
          <w:rFonts w:hint="eastAsia" w:ascii="仿宋" w:hAnsi="仿宋" w:cs="仿宋"/>
        </w:rPr>
        <w:t>包括永久性河流湿地和洪泛平原湿地（滩涂）两个湿地型。永久性河流湿地主要指湿地公园范围内的渫水、峡峪河、商溪河、仙阳河河道水域；洪泛平原湿地主要指渫水、峡峪河、仙阳河、仙阳湖上的洲滩。</w:t>
      </w:r>
    </w:p>
    <w:p>
      <w:pPr>
        <w:pStyle w:val="47"/>
        <w:numPr>
          <w:ilvl w:val="255"/>
          <w:numId w:val="0"/>
        </w:numPr>
        <w:ind w:firstLine="560" w:firstLineChars="200"/>
        <w:rPr>
          <w:rFonts w:ascii="仿宋" w:hAnsi="仿宋" w:cs="仿宋"/>
        </w:rPr>
      </w:pPr>
      <w:r>
        <w:rPr>
          <w:rFonts w:hint="eastAsia" w:ascii="仿宋" w:hAnsi="仿宋" w:cs="仿宋"/>
        </w:rPr>
        <w:t>（2）沼泽湿地</w:t>
      </w:r>
    </w:p>
    <w:p>
      <w:pPr>
        <w:ind w:firstLine="560"/>
        <w:rPr>
          <w:rFonts w:ascii="仿宋" w:hAnsi="仿宋" w:cs="仿宋"/>
        </w:rPr>
      </w:pPr>
      <w:r>
        <w:rPr>
          <w:rFonts w:hint="eastAsia" w:ascii="仿宋" w:hAnsi="仿宋" w:cs="仿宋"/>
        </w:rPr>
        <w:t>主要指规划范围内的森林沼泽。</w:t>
      </w:r>
    </w:p>
    <w:p>
      <w:pPr>
        <w:pStyle w:val="47"/>
        <w:numPr>
          <w:ilvl w:val="255"/>
          <w:numId w:val="0"/>
        </w:numPr>
        <w:ind w:firstLine="560" w:firstLineChars="200"/>
        <w:rPr>
          <w:rFonts w:ascii="仿宋" w:hAnsi="仿宋" w:cs="仿宋"/>
        </w:rPr>
      </w:pPr>
      <w:r>
        <w:rPr>
          <w:rFonts w:hint="eastAsia" w:ascii="仿宋" w:hAnsi="仿宋" w:cs="仿宋"/>
        </w:rPr>
        <w:t>（3）人工湿地</w:t>
      </w:r>
    </w:p>
    <w:p>
      <w:pPr>
        <w:ind w:firstLine="560"/>
        <w:rPr>
          <w:rFonts w:ascii="仿宋" w:hAnsi="仿宋" w:cs="仿宋"/>
        </w:rPr>
      </w:pPr>
      <w:r>
        <w:rPr>
          <w:rFonts w:hint="eastAsia" w:ascii="仿宋" w:hAnsi="仿宋" w:cs="仿宋"/>
        </w:rPr>
        <w:t>主要指规划范围</w:t>
      </w:r>
      <w:r>
        <w:rPr>
          <w:rFonts w:cs="Times New Roman"/>
        </w:rPr>
        <w:t>内</w:t>
      </w:r>
      <w:r>
        <w:rPr>
          <w:rFonts w:ascii="仿宋" w:hAnsi="仿宋" w:cs="仿宋"/>
        </w:rPr>
        <w:t>仙阳湖</w:t>
      </w:r>
      <w:r>
        <w:rPr>
          <w:rFonts w:hint="eastAsia" w:ascii="仿宋" w:hAnsi="仿宋" w:cs="仿宋"/>
        </w:rPr>
        <w:t>多年平均最高水位</w:t>
      </w:r>
      <w:r>
        <w:rPr>
          <w:rFonts w:ascii="仿宋" w:hAnsi="仿宋" w:cs="仿宋"/>
        </w:rPr>
        <w:t>（黄海</w:t>
      </w:r>
      <w:r>
        <w:rPr>
          <w:rFonts w:cs="Times New Roman"/>
        </w:rPr>
        <w:t>高程141</w:t>
      </w:r>
      <w:r>
        <w:rPr>
          <w:rFonts w:hint="eastAsia" w:cs="Times New Roman"/>
        </w:rPr>
        <w:t>米</w:t>
      </w:r>
      <w:r>
        <w:rPr>
          <w:rFonts w:cs="Times New Roman"/>
        </w:rPr>
        <w:t>）所覆盖的</w:t>
      </w:r>
      <w:r>
        <w:rPr>
          <w:rFonts w:hint="eastAsia" w:ascii="仿宋" w:hAnsi="仿宋" w:cs="仿宋"/>
        </w:rPr>
        <w:t>范围以及湿地公园内分布的农业灌溉山塘。</w:t>
      </w:r>
    </w:p>
    <w:p>
      <w:pPr>
        <w:pStyle w:val="6"/>
        <w:numPr>
          <w:ilvl w:val="2"/>
          <w:numId w:val="18"/>
        </w:numPr>
      </w:pPr>
      <w:bookmarkStart w:id="131" w:name="_Toc113925463"/>
      <w:bookmarkStart w:id="132" w:name="_Toc113925715"/>
      <w:r>
        <w:rPr>
          <w:rFonts w:hint="eastAsia"/>
        </w:rPr>
        <w:t>湿地面积</w:t>
      </w:r>
      <w:bookmarkEnd w:id="131"/>
      <w:bookmarkEnd w:id="132"/>
    </w:p>
    <w:p>
      <w:pPr>
        <w:ind w:firstLine="560"/>
        <w:rPr>
          <w:rFonts w:cs="Times New Roman"/>
        </w:rPr>
      </w:pPr>
      <w:r>
        <w:rPr>
          <w:rFonts w:hint="eastAsia" w:cs="Times New Roman"/>
        </w:rPr>
        <w:t>据调查，仙阳湖国家湿地公园湿地面积共</w:t>
      </w:r>
      <w:r>
        <w:rPr>
          <w:rFonts w:cs="Times New Roman"/>
          <w:szCs w:val="28"/>
          <w:lang w:bidi="ar"/>
        </w:rPr>
        <w:t>4899.81</w:t>
      </w:r>
      <w:r>
        <w:rPr>
          <w:rFonts w:hint="eastAsia" w:cs="Times New Roman"/>
        </w:rPr>
        <w:t>公顷</w:t>
      </w:r>
      <w:r>
        <w:rPr>
          <w:rFonts w:hint="eastAsia" w:cs="Times New Roman"/>
          <w:lang w:eastAsia="zh-CN"/>
        </w:rPr>
        <w:t>，</w:t>
      </w:r>
      <w:r>
        <w:rPr>
          <w:rFonts w:hint="eastAsia" w:cs="Times New Roman"/>
          <w:szCs w:val="28"/>
          <w:lang w:eastAsia="zh-CN" w:bidi="ar"/>
        </w:rPr>
        <w:t>湿地率</w:t>
      </w:r>
      <w:r>
        <w:rPr>
          <w:rFonts w:hint="eastAsia" w:cs="Times New Roman"/>
          <w:szCs w:val="28"/>
          <w:lang w:val="en-US" w:eastAsia="zh-CN" w:bidi="ar"/>
        </w:rPr>
        <w:t>52.20%</w:t>
      </w:r>
      <w:r>
        <w:rPr>
          <w:rFonts w:hint="eastAsia" w:cs="Times New Roman"/>
        </w:rPr>
        <w:t>。其中，河流湿地、沼泽湿地和人工湿地面积分别为</w:t>
      </w:r>
      <w:r>
        <w:rPr>
          <w:rFonts w:cs="Times New Roman"/>
        </w:rPr>
        <w:t>1421.44</w:t>
      </w:r>
      <w:r>
        <w:rPr>
          <w:rFonts w:hint="eastAsia" w:cs="Times New Roman"/>
        </w:rPr>
        <w:t>公顷、</w:t>
      </w:r>
      <w:r>
        <w:rPr>
          <w:rFonts w:cs="Times New Roman"/>
        </w:rPr>
        <w:t>16.87</w:t>
      </w:r>
      <w:r>
        <w:rPr>
          <w:rFonts w:hint="eastAsia" w:cs="Times New Roman"/>
        </w:rPr>
        <w:t>公顷、</w:t>
      </w:r>
      <w:r>
        <w:rPr>
          <w:rFonts w:cs="Times New Roman"/>
        </w:rPr>
        <w:t>3461.50</w:t>
      </w:r>
      <w:r>
        <w:rPr>
          <w:rFonts w:hint="eastAsia" w:cs="Times New Roman"/>
        </w:rPr>
        <w:t>公顷，分别占湿地总面积的</w:t>
      </w:r>
      <w:r>
        <w:rPr>
          <w:rFonts w:cs="Times New Roman"/>
        </w:rPr>
        <w:t>29.01%</w:t>
      </w:r>
      <w:r>
        <w:rPr>
          <w:rFonts w:hint="eastAsia" w:cs="Times New Roman"/>
        </w:rPr>
        <w:t>、</w:t>
      </w:r>
      <w:r>
        <w:rPr>
          <w:rFonts w:cs="Times New Roman"/>
        </w:rPr>
        <w:t>0.34</w:t>
      </w:r>
      <w:r>
        <w:rPr>
          <w:rFonts w:hint="eastAsia" w:cs="Times New Roman"/>
        </w:rPr>
        <w:t>%、</w:t>
      </w:r>
      <w:r>
        <w:rPr>
          <w:rFonts w:cs="Times New Roman"/>
        </w:rPr>
        <w:t>70.65%</w:t>
      </w:r>
      <w:r>
        <w:rPr>
          <w:rFonts w:hint="eastAsia" w:cs="Times New Roman"/>
        </w:rPr>
        <w:t>，分别占湿地公园总面积的</w:t>
      </w:r>
      <w:r>
        <w:rPr>
          <w:rFonts w:cs="Times New Roman"/>
        </w:rPr>
        <w:t>15.14%</w:t>
      </w:r>
      <w:r>
        <w:rPr>
          <w:rFonts w:hint="eastAsia" w:cs="Times New Roman"/>
        </w:rPr>
        <w:t>、0</w:t>
      </w:r>
      <w:r>
        <w:rPr>
          <w:rFonts w:cs="Times New Roman"/>
        </w:rPr>
        <w:t>.18</w:t>
      </w:r>
      <w:r>
        <w:rPr>
          <w:rFonts w:hint="eastAsia" w:cs="Times New Roman"/>
        </w:rPr>
        <w:t>%、</w:t>
      </w:r>
      <w:r>
        <w:rPr>
          <w:rFonts w:cs="Times New Roman"/>
        </w:rPr>
        <w:t>36.88%</w:t>
      </w:r>
      <w:r>
        <w:rPr>
          <w:rFonts w:hint="eastAsia" w:cs="Times New Roman"/>
        </w:rPr>
        <w:t>，详见表3-1。</w:t>
      </w:r>
    </w:p>
    <w:p>
      <w:pPr>
        <w:pStyle w:val="14"/>
        <w:pageBreakBefore/>
        <w:spacing w:before="197" w:after="0" w:afterLines="0"/>
        <w:rPr>
          <w:rFonts w:ascii="黑体" w:hAnsi="黑体" w:cs="黑体"/>
          <w:sz w:val="24"/>
          <w:szCs w:val="24"/>
        </w:rPr>
      </w:pPr>
      <w:r>
        <w:rPr>
          <w:rFonts w:hint="eastAsia" w:ascii="黑体" w:hAnsi="黑体" w:cs="黑体"/>
          <w:sz w:val="24"/>
          <w:szCs w:val="24"/>
        </w:rPr>
        <w:t>仙阳湖国家湿地公园湿地类型一览表</w:t>
      </w:r>
    </w:p>
    <w:p>
      <w:pPr>
        <w:pStyle w:val="45"/>
        <w:jc w:val="both"/>
        <w:rPr>
          <w:rFonts w:eastAsia="仿宋" w:cs="Times New Roman"/>
          <w:sz w:val="21"/>
          <w:szCs w:val="21"/>
        </w:rPr>
      </w:pPr>
      <w:r>
        <w:rPr>
          <w:rFonts w:hint="eastAsia" w:ascii="黑体" w:hAnsi="黑体" w:eastAsia="黑体" w:cs="黑体"/>
          <w:sz w:val="21"/>
          <w:szCs w:val="21"/>
        </w:rPr>
        <w:t>表</w:t>
      </w:r>
      <w:r>
        <w:rPr>
          <w:rFonts w:eastAsia="仿宋" w:cs="Times New Roman"/>
          <w:sz w:val="21"/>
          <w:szCs w:val="21"/>
        </w:rPr>
        <w:t xml:space="preserve">3-1  </w:t>
      </w:r>
      <w:r>
        <w:rPr>
          <w:rFonts w:hint="eastAsia" w:eastAsia="仿宋" w:cs="Times New Roman"/>
          <w:sz w:val="21"/>
          <w:szCs w:val="21"/>
        </w:rPr>
        <w:t xml:space="preserve">            </w:t>
      </w:r>
      <w:r>
        <w:rPr>
          <w:rFonts w:eastAsia="仿宋" w:cs="Times New Roman"/>
          <w:sz w:val="21"/>
          <w:szCs w:val="21"/>
        </w:rPr>
        <w:t xml:space="preserve">                                                  </w:t>
      </w:r>
      <w:r>
        <w:rPr>
          <w:rFonts w:hint="eastAsia" w:eastAsia="仿宋" w:cs="Times New Roman"/>
          <w:sz w:val="21"/>
          <w:szCs w:val="21"/>
        </w:rPr>
        <w:t>单位：公顷，</w:t>
      </w:r>
      <w:r>
        <w:rPr>
          <w:rFonts w:eastAsia="仿宋" w:cs="Times New Roman"/>
          <w:sz w:val="21"/>
          <w:szCs w:val="21"/>
        </w:rPr>
        <w:t>%</w:t>
      </w:r>
    </w:p>
    <w:tbl>
      <w:tblPr>
        <w:tblStyle w:val="32"/>
        <w:tblW w:w="5000" w:type="pct"/>
        <w:tblInd w:w="0" w:type="dxa"/>
        <w:tblLayout w:type="autofit"/>
        <w:tblCellMar>
          <w:top w:w="0" w:type="dxa"/>
          <w:left w:w="0" w:type="dxa"/>
          <w:bottom w:w="0" w:type="dxa"/>
          <w:right w:w="0" w:type="dxa"/>
        </w:tblCellMar>
      </w:tblPr>
      <w:tblGrid>
        <w:gridCol w:w="850"/>
        <w:gridCol w:w="1163"/>
        <w:gridCol w:w="1541"/>
        <w:gridCol w:w="854"/>
        <w:gridCol w:w="1231"/>
        <w:gridCol w:w="1797"/>
        <w:gridCol w:w="1495"/>
      </w:tblGrid>
      <w:tr>
        <w:tblPrEx>
          <w:tblCellMar>
            <w:top w:w="0" w:type="dxa"/>
            <w:left w:w="0" w:type="dxa"/>
            <w:bottom w:w="0" w:type="dxa"/>
            <w:right w:w="0" w:type="dxa"/>
          </w:tblCellMar>
        </w:tblPrEx>
        <w:trPr>
          <w:trHeight w:val="420" w:hRule="atLeast"/>
        </w:trPr>
        <w:tc>
          <w:tcPr>
            <w:tcW w:w="476" w:type="pct"/>
            <w:tcBorders>
              <w:top w:val="single" w:color="auto" w:sz="4" w:space="0"/>
              <w:left w:val="single" w:color="auto" w:sz="4" w:space="0"/>
              <w:bottom w:val="single" w:color="auto" w:sz="4" w:space="0"/>
              <w:right w:val="single" w:color="auto" w:sz="4" w:space="0"/>
            </w:tcBorders>
            <w:shd w:val="clear" w:color="auto" w:fill="auto"/>
            <w:tcMar>
              <w:top w:w="15" w:type="dxa"/>
              <w:left w:w="15" w:type="dxa"/>
              <w:bottom w:w="0" w:type="dxa"/>
              <w:right w:w="15" w:type="dxa"/>
            </w:tcMar>
            <w:vAlign w:val="center"/>
          </w:tcPr>
          <w:p>
            <w:pPr>
              <w:pStyle w:val="44"/>
              <w:rPr>
                <w:rFonts w:eastAsia="仿宋" w:cs="Times New Roman"/>
                <w:szCs w:val="21"/>
              </w:rPr>
            </w:pPr>
            <w:r>
              <w:rPr>
                <w:rFonts w:eastAsia="仿宋" w:cs="Times New Roman"/>
                <w:szCs w:val="21"/>
              </w:rPr>
              <w:t>湿地类代码</w:t>
            </w:r>
          </w:p>
        </w:tc>
        <w:tc>
          <w:tcPr>
            <w:tcW w:w="651" w:type="pct"/>
            <w:tcBorders>
              <w:top w:val="single" w:color="auto" w:sz="4" w:space="0"/>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4"/>
              <w:rPr>
                <w:rFonts w:eastAsia="仿宋" w:cs="Times New Roman"/>
                <w:szCs w:val="21"/>
              </w:rPr>
            </w:pPr>
            <w:r>
              <w:rPr>
                <w:rFonts w:eastAsia="仿宋" w:cs="Times New Roman"/>
                <w:szCs w:val="21"/>
              </w:rPr>
              <w:t>湿地类</w:t>
            </w:r>
          </w:p>
        </w:tc>
        <w:tc>
          <w:tcPr>
            <w:tcW w:w="863" w:type="pct"/>
            <w:tcBorders>
              <w:top w:val="single" w:color="auto" w:sz="4" w:space="0"/>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4"/>
              <w:rPr>
                <w:rFonts w:eastAsia="仿宋" w:cs="Times New Roman"/>
                <w:szCs w:val="21"/>
              </w:rPr>
            </w:pPr>
            <w:r>
              <w:rPr>
                <w:rFonts w:eastAsia="仿宋" w:cs="Times New Roman"/>
                <w:szCs w:val="21"/>
              </w:rPr>
              <w:t>湿地型</w:t>
            </w:r>
          </w:p>
        </w:tc>
        <w:tc>
          <w:tcPr>
            <w:tcW w:w="478" w:type="pct"/>
            <w:tcBorders>
              <w:top w:val="single" w:color="auto" w:sz="4" w:space="0"/>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4"/>
              <w:rPr>
                <w:rFonts w:eastAsia="仿宋" w:cs="Times New Roman"/>
                <w:szCs w:val="21"/>
              </w:rPr>
            </w:pPr>
            <w:r>
              <w:rPr>
                <w:rFonts w:eastAsia="仿宋" w:cs="Times New Roman"/>
                <w:szCs w:val="21"/>
              </w:rPr>
              <w:t>湿地型代码</w:t>
            </w:r>
          </w:p>
        </w:tc>
        <w:tc>
          <w:tcPr>
            <w:tcW w:w="689" w:type="pct"/>
            <w:tcBorders>
              <w:top w:val="single" w:color="auto" w:sz="4" w:space="0"/>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4"/>
              <w:rPr>
                <w:rFonts w:eastAsia="仿宋" w:cs="Times New Roman"/>
                <w:szCs w:val="21"/>
              </w:rPr>
            </w:pPr>
            <w:r>
              <w:rPr>
                <w:rFonts w:eastAsia="仿宋" w:cs="Times New Roman"/>
                <w:szCs w:val="21"/>
              </w:rPr>
              <w:t>面积</w:t>
            </w:r>
          </w:p>
        </w:tc>
        <w:tc>
          <w:tcPr>
            <w:tcW w:w="1006" w:type="pct"/>
            <w:tcBorders>
              <w:top w:val="single" w:color="auto" w:sz="4" w:space="0"/>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4"/>
              <w:rPr>
                <w:rFonts w:eastAsia="仿宋" w:cs="Times New Roman"/>
                <w:szCs w:val="21"/>
              </w:rPr>
            </w:pPr>
            <w:r>
              <w:rPr>
                <w:rFonts w:eastAsia="仿宋" w:cs="Times New Roman"/>
                <w:szCs w:val="21"/>
              </w:rPr>
              <w:t>占总湿地面积比重</w:t>
            </w:r>
          </w:p>
        </w:tc>
        <w:tc>
          <w:tcPr>
            <w:tcW w:w="837" w:type="pct"/>
            <w:tcBorders>
              <w:top w:val="single" w:color="auto" w:sz="4" w:space="0"/>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4"/>
              <w:rPr>
                <w:rFonts w:eastAsia="仿宋" w:cs="Times New Roman"/>
                <w:szCs w:val="21"/>
              </w:rPr>
            </w:pPr>
            <w:r>
              <w:rPr>
                <w:rFonts w:eastAsia="仿宋" w:cs="Times New Roman"/>
                <w:szCs w:val="21"/>
              </w:rPr>
              <w:t>占湿地公园比重</w:t>
            </w:r>
          </w:p>
        </w:tc>
      </w:tr>
      <w:tr>
        <w:tblPrEx>
          <w:tblCellMar>
            <w:top w:w="0" w:type="dxa"/>
            <w:left w:w="0" w:type="dxa"/>
            <w:bottom w:w="0" w:type="dxa"/>
            <w:right w:w="0" w:type="dxa"/>
          </w:tblCellMar>
        </w:tblPrEx>
        <w:trPr>
          <w:trHeight w:val="315" w:hRule="atLeast"/>
        </w:trPr>
        <w:tc>
          <w:tcPr>
            <w:tcW w:w="476" w:type="pct"/>
            <w:vMerge w:val="restart"/>
            <w:tcBorders>
              <w:top w:val="nil"/>
              <w:left w:val="single" w:color="auto" w:sz="4" w:space="0"/>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2</w:t>
            </w:r>
          </w:p>
        </w:tc>
        <w:tc>
          <w:tcPr>
            <w:tcW w:w="651" w:type="pct"/>
            <w:vMerge w:val="restart"/>
            <w:tcBorders>
              <w:top w:val="nil"/>
              <w:left w:val="single" w:color="auto" w:sz="4" w:space="0"/>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河流湿地</w:t>
            </w:r>
          </w:p>
        </w:tc>
        <w:tc>
          <w:tcPr>
            <w:tcW w:w="1341" w:type="pct"/>
            <w:gridSpan w:val="2"/>
            <w:tcBorders>
              <w:top w:val="single" w:color="auto" w:sz="4" w:space="0"/>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小计</w:t>
            </w:r>
          </w:p>
        </w:tc>
        <w:tc>
          <w:tcPr>
            <w:tcW w:w="689"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 xml:space="preserve">1421.44 </w:t>
            </w:r>
          </w:p>
        </w:tc>
        <w:tc>
          <w:tcPr>
            <w:tcW w:w="1006"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29.01%</w:t>
            </w:r>
          </w:p>
        </w:tc>
        <w:tc>
          <w:tcPr>
            <w:tcW w:w="837"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15.14%</w:t>
            </w:r>
          </w:p>
        </w:tc>
      </w:tr>
      <w:tr>
        <w:tblPrEx>
          <w:tblCellMar>
            <w:top w:w="0" w:type="dxa"/>
            <w:left w:w="0" w:type="dxa"/>
            <w:bottom w:w="0" w:type="dxa"/>
            <w:right w:w="0" w:type="dxa"/>
          </w:tblCellMar>
        </w:tblPrEx>
        <w:trPr>
          <w:trHeight w:val="315" w:hRule="atLeast"/>
        </w:trPr>
        <w:tc>
          <w:tcPr>
            <w:tcW w:w="476" w:type="pct"/>
            <w:vMerge w:val="continue"/>
            <w:tcBorders>
              <w:top w:val="nil"/>
              <w:left w:val="single" w:color="auto" w:sz="4" w:space="0"/>
              <w:bottom w:val="single" w:color="auto" w:sz="4" w:space="0"/>
              <w:right w:val="single" w:color="auto" w:sz="4" w:space="0"/>
            </w:tcBorders>
            <w:vAlign w:val="center"/>
          </w:tcPr>
          <w:p>
            <w:pPr>
              <w:pStyle w:val="45"/>
              <w:rPr>
                <w:rFonts w:eastAsia="仿宋" w:cs="Times New Roman"/>
                <w:sz w:val="21"/>
                <w:szCs w:val="21"/>
              </w:rPr>
            </w:pPr>
          </w:p>
        </w:tc>
        <w:tc>
          <w:tcPr>
            <w:tcW w:w="651" w:type="pct"/>
            <w:vMerge w:val="continue"/>
            <w:tcBorders>
              <w:top w:val="nil"/>
              <w:left w:val="single" w:color="auto" w:sz="4" w:space="0"/>
              <w:bottom w:val="single" w:color="auto" w:sz="4" w:space="0"/>
              <w:right w:val="single" w:color="auto" w:sz="4" w:space="0"/>
            </w:tcBorders>
            <w:vAlign w:val="center"/>
          </w:tcPr>
          <w:p>
            <w:pPr>
              <w:pStyle w:val="45"/>
              <w:rPr>
                <w:rFonts w:eastAsia="仿宋" w:cs="Times New Roman"/>
                <w:sz w:val="21"/>
                <w:szCs w:val="21"/>
              </w:rPr>
            </w:pPr>
          </w:p>
        </w:tc>
        <w:tc>
          <w:tcPr>
            <w:tcW w:w="863"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永久性河流</w:t>
            </w:r>
          </w:p>
        </w:tc>
        <w:tc>
          <w:tcPr>
            <w:tcW w:w="478"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201</w:t>
            </w:r>
          </w:p>
        </w:tc>
        <w:tc>
          <w:tcPr>
            <w:tcW w:w="689"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 xml:space="preserve">188.71 </w:t>
            </w:r>
          </w:p>
        </w:tc>
        <w:tc>
          <w:tcPr>
            <w:tcW w:w="1006"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3.85%</w:t>
            </w:r>
          </w:p>
        </w:tc>
        <w:tc>
          <w:tcPr>
            <w:tcW w:w="837"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2.01%</w:t>
            </w:r>
          </w:p>
        </w:tc>
      </w:tr>
      <w:tr>
        <w:tblPrEx>
          <w:tblCellMar>
            <w:top w:w="0" w:type="dxa"/>
            <w:left w:w="0" w:type="dxa"/>
            <w:bottom w:w="0" w:type="dxa"/>
            <w:right w:w="0" w:type="dxa"/>
          </w:tblCellMar>
        </w:tblPrEx>
        <w:trPr>
          <w:trHeight w:val="315" w:hRule="atLeast"/>
        </w:trPr>
        <w:tc>
          <w:tcPr>
            <w:tcW w:w="476" w:type="pct"/>
            <w:vMerge w:val="continue"/>
            <w:tcBorders>
              <w:top w:val="nil"/>
              <w:left w:val="single" w:color="auto" w:sz="4" w:space="0"/>
              <w:bottom w:val="single" w:color="auto" w:sz="4" w:space="0"/>
              <w:right w:val="single" w:color="auto" w:sz="4" w:space="0"/>
            </w:tcBorders>
            <w:vAlign w:val="center"/>
          </w:tcPr>
          <w:p>
            <w:pPr>
              <w:pStyle w:val="45"/>
              <w:rPr>
                <w:rFonts w:eastAsia="仿宋" w:cs="Times New Roman"/>
                <w:sz w:val="21"/>
                <w:szCs w:val="21"/>
              </w:rPr>
            </w:pPr>
          </w:p>
        </w:tc>
        <w:tc>
          <w:tcPr>
            <w:tcW w:w="651" w:type="pct"/>
            <w:vMerge w:val="continue"/>
            <w:tcBorders>
              <w:top w:val="nil"/>
              <w:left w:val="single" w:color="auto" w:sz="4" w:space="0"/>
              <w:bottom w:val="single" w:color="auto" w:sz="4" w:space="0"/>
              <w:right w:val="single" w:color="auto" w:sz="4" w:space="0"/>
            </w:tcBorders>
            <w:vAlign w:val="center"/>
          </w:tcPr>
          <w:p>
            <w:pPr>
              <w:pStyle w:val="45"/>
              <w:rPr>
                <w:rFonts w:eastAsia="仿宋" w:cs="Times New Roman"/>
                <w:sz w:val="21"/>
                <w:szCs w:val="21"/>
              </w:rPr>
            </w:pPr>
          </w:p>
        </w:tc>
        <w:tc>
          <w:tcPr>
            <w:tcW w:w="863"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洪泛平原湿地</w:t>
            </w:r>
          </w:p>
        </w:tc>
        <w:tc>
          <w:tcPr>
            <w:tcW w:w="478"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203</w:t>
            </w:r>
          </w:p>
        </w:tc>
        <w:tc>
          <w:tcPr>
            <w:tcW w:w="689"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 xml:space="preserve">1232.73 </w:t>
            </w:r>
          </w:p>
        </w:tc>
        <w:tc>
          <w:tcPr>
            <w:tcW w:w="1006"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25.16%</w:t>
            </w:r>
          </w:p>
        </w:tc>
        <w:tc>
          <w:tcPr>
            <w:tcW w:w="837"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13.13%</w:t>
            </w:r>
          </w:p>
        </w:tc>
      </w:tr>
      <w:tr>
        <w:tblPrEx>
          <w:tblCellMar>
            <w:top w:w="0" w:type="dxa"/>
            <w:left w:w="0" w:type="dxa"/>
            <w:bottom w:w="0" w:type="dxa"/>
            <w:right w:w="0" w:type="dxa"/>
          </w:tblCellMar>
        </w:tblPrEx>
        <w:trPr>
          <w:trHeight w:val="315" w:hRule="atLeast"/>
        </w:trPr>
        <w:tc>
          <w:tcPr>
            <w:tcW w:w="476" w:type="pct"/>
            <w:vMerge w:val="restart"/>
            <w:tcBorders>
              <w:top w:val="nil"/>
              <w:left w:val="single" w:color="auto" w:sz="4" w:space="0"/>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3</w:t>
            </w:r>
          </w:p>
        </w:tc>
        <w:tc>
          <w:tcPr>
            <w:tcW w:w="651" w:type="pct"/>
            <w:vMerge w:val="restart"/>
            <w:tcBorders>
              <w:top w:val="nil"/>
              <w:left w:val="single" w:color="auto" w:sz="4" w:space="0"/>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沼泽湿地</w:t>
            </w:r>
          </w:p>
        </w:tc>
        <w:tc>
          <w:tcPr>
            <w:tcW w:w="1341" w:type="pct"/>
            <w:gridSpan w:val="2"/>
            <w:tcBorders>
              <w:top w:val="single" w:color="auto" w:sz="4" w:space="0"/>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小计</w:t>
            </w:r>
          </w:p>
        </w:tc>
        <w:tc>
          <w:tcPr>
            <w:tcW w:w="689"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 xml:space="preserve">16.87 </w:t>
            </w:r>
          </w:p>
        </w:tc>
        <w:tc>
          <w:tcPr>
            <w:tcW w:w="1006"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0.34%</w:t>
            </w:r>
          </w:p>
        </w:tc>
        <w:tc>
          <w:tcPr>
            <w:tcW w:w="837"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0.18%</w:t>
            </w:r>
          </w:p>
        </w:tc>
      </w:tr>
      <w:tr>
        <w:tblPrEx>
          <w:tblCellMar>
            <w:top w:w="0" w:type="dxa"/>
            <w:left w:w="0" w:type="dxa"/>
            <w:bottom w:w="0" w:type="dxa"/>
            <w:right w:w="0" w:type="dxa"/>
          </w:tblCellMar>
        </w:tblPrEx>
        <w:trPr>
          <w:trHeight w:val="315" w:hRule="atLeast"/>
        </w:trPr>
        <w:tc>
          <w:tcPr>
            <w:tcW w:w="476" w:type="pct"/>
            <w:vMerge w:val="continue"/>
            <w:tcBorders>
              <w:top w:val="nil"/>
              <w:left w:val="single" w:color="auto" w:sz="4" w:space="0"/>
              <w:bottom w:val="single" w:color="auto" w:sz="4" w:space="0"/>
              <w:right w:val="single" w:color="auto" w:sz="4" w:space="0"/>
            </w:tcBorders>
            <w:vAlign w:val="center"/>
          </w:tcPr>
          <w:p>
            <w:pPr>
              <w:pStyle w:val="45"/>
              <w:rPr>
                <w:rFonts w:eastAsia="仿宋" w:cs="Times New Roman"/>
                <w:sz w:val="21"/>
                <w:szCs w:val="21"/>
              </w:rPr>
            </w:pPr>
          </w:p>
        </w:tc>
        <w:tc>
          <w:tcPr>
            <w:tcW w:w="651" w:type="pct"/>
            <w:vMerge w:val="continue"/>
            <w:tcBorders>
              <w:top w:val="nil"/>
              <w:left w:val="single" w:color="auto" w:sz="4" w:space="0"/>
              <w:bottom w:val="single" w:color="auto" w:sz="4" w:space="0"/>
              <w:right w:val="single" w:color="auto" w:sz="4" w:space="0"/>
            </w:tcBorders>
            <w:vAlign w:val="center"/>
          </w:tcPr>
          <w:p>
            <w:pPr>
              <w:pStyle w:val="45"/>
              <w:rPr>
                <w:rFonts w:eastAsia="仿宋" w:cs="Times New Roman"/>
                <w:sz w:val="21"/>
                <w:szCs w:val="21"/>
              </w:rPr>
            </w:pPr>
          </w:p>
        </w:tc>
        <w:tc>
          <w:tcPr>
            <w:tcW w:w="863"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森林沼泽</w:t>
            </w:r>
          </w:p>
        </w:tc>
        <w:tc>
          <w:tcPr>
            <w:tcW w:w="478"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404</w:t>
            </w:r>
          </w:p>
        </w:tc>
        <w:tc>
          <w:tcPr>
            <w:tcW w:w="689"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 xml:space="preserve">16.87 </w:t>
            </w:r>
          </w:p>
        </w:tc>
        <w:tc>
          <w:tcPr>
            <w:tcW w:w="1006"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0.34%</w:t>
            </w:r>
          </w:p>
        </w:tc>
        <w:tc>
          <w:tcPr>
            <w:tcW w:w="837"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0.18%</w:t>
            </w:r>
          </w:p>
        </w:tc>
      </w:tr>
      <w:tr>
        <w:tblPrEx>
          <w:tblCellMar>
            <w:top w:w="0" w:type="dxa"/>
            <w:left w:w="0" w:type="dxa"/>
            <w:bottom w:w="0" w:type="dxa"/>
            <w:right w:w="0" w:type="dxa"/>
          </w:tblCellMar>
        </w:tblPrEx>
        <w:trPr>
          <w:trHeight w:val="315" w:hRule="atLeast"/>
        </w:trPr>
        <w:tc>
          <w:tcPr>
            <w:tcW w:w="476" w:type="pct"/>
            <w:vMerge w:val="restart"/>
            <w:tcBorders>
              <w:top w:val="nil"/>
              <w:left w:val="single" w:color="auto" w:sz="4" w:space="0"/>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5</w:t>
            </w:r>
          </w:p>
        </w:tc>
        <w:tc>
          <w:tcPr>
            <w:tcW w:w="651" w:type="pct"/>
            <w:vMerge w:val="restart"/>
            <w:tcBorders>
              <w:top w:val="nil"/>
              <w:left w:val="single" w:color="auto" w:sz="4" w:space="0"/>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人工湿地</w:t>
            </w:r>
          </w:p>
        </w:tc>
        <w:tc>
          <w:tcPr>
            <w:tcW w:w="1341" w:type="pct"/>
            <w:gridSpan w:val="2"/>
            <w:tcBorders>
              <w:top w:val="single" w:color="auto" w:sz="4" w:space="0"/>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小计</w:t>
            </w:r>
          </w:p>
        </w:tc>
        <w:tc>
          <w:tcPr>
            <w:tcW w:w="689"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 xml:space="preserve">3461.50 </w:t>
            </w:r>
          </w:p>
        </w:tc>
        <w:tc>
          <w:tcPr>
            <w:tcW w:w="1006"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70.65%</w:t>
            </w:r>
          </w:p>
        </w:tc>
        <w:tc>
          <w:tcPr>
            <w:tcW w:w="837"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36.88%</w:t>
            </w:r>
          </w:p>
        </w:tc>
      </w:tr>
      <w:tr>
        <w:tblPrEx>
          <w:tblCellMar>
            <w:top w:w="0" w:type="dxa"/>
            <w:left w:w="0" w:type="dxa"/>
            <w:bottom w:w="0" w:type="dxa"/>
            <w:right w:w="0" w:type="dxa"/>
          </w:tblCellMar>
        </w:tblPrEx>
        <w:trPr>
          <w:trHeight w:val="315" w:hRule="atLeast"/>
        </w:trPr>
        <w:tc>
          <w:tcPr>
            <w:tcW w:w="476" w:type="pct"/>
            <w:vMerge w:val="continue"/>
            <w:tcBorders>
              <w:top w:val="nil"/>
              <w:left w:val="single" w:color="auto" w:sz="4" w:space="0"/>
              <w:bottom w:val="single" w:color="auto" w:sz="4" w:space="0"/>
              <w:right w:val="single" w:color="auto" w:sz="4" w:space="0"/>
            </w:tcBorders>
            <w:vAlign w:val="center"/>
          </w:tcPr>
          <w:p>
            <w:pPr>
              <w:pStyle w:val="45"/>
              <w:rPr>
                <w:rFonts w:eastAsia="仿宋" w:cs="Times New Roman"/>
                <w:sz w:val="21"/>
                <w:szCs w:val="21"/>
              </w:rPr>
            </w:pPr>
          </w:p>
        </w:tc>
        <w:tc>
          <w:tcPr>
            <w:tcW w:w="651" w:type="pct"/>
            <w:vMerge w:val="continue"/>
            <w:tcBorders>
              <w:top w:val="nil"/>
              <w:left w:val="single" w:color="auto" w:sz="4" w:space="0"/>
              <w:bottom w:val="single" w:color="auto" w:sz="4" w:space="0"/>
              <w:right w:val="single" w:color="auto" w:sz="4" w:space="0"/>
            </w:tcBorders>
            <w:vAlign w:val="center"/>
          </w:tcPr>
          <w:p>
            <w:pPr>
              <w:pStyle w:val="45"/>
              <w:rPr>
                <w:rFonts w:eastAsia="仿宋" w:cs="Times New Roman"/>
                <w:sz w:val="21"/>
                <w:szCs w:val="21"/>
              </w:rPr>
            </w:pPr>
          </w:p>
        </w:tc>
        <w:tc>
          <w:tcPr>
            <w:tcW w:w="863"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库塘</w:t>
            </w:r>
          </w:p>
        </w:tc>
        <w:tc>
          <w:tcPr>
            <w:tcW w:w="478"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501</w:t>
            </w:r>
          </w:p>
        </w:tc>
        <w:tc>
          <w:tcPr>
            <w:tcW w:w="689"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 xml:space="preserve">3461.50 </w:t>
            </w:r>
          </w:p>
        </w:tc>
        <w:tc>
          <w:tcPr>
            <w:tcW w:w="1006"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70.65%</w:t>
            </w:r>
          </w:p>
        </w:tc>
        <w:tc>
          <w:tcPr>
            <w:tcW w:w="837"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36.88%</w:t>
            </w:r>
          </w:p>
        </w:tc>
      </w:tr>
      <w:tr>
        <w:tblPrEx>
          <w:tblCellMar>
            <w:top w:w="0" w:type="dxa"/>
            <w:left w:w="0" w:type="dxa"/>
            <w:bottom w:w="0" w:type="dxa"/>
            <w:right w:w="0" w:type="dxa"/>
          </w:tblCellMar>
        </w:tblPrEx>
        <w:trPr>
          <w:trHeight w:val="315" w:hRule="atLeast"/>
        </w:trPr>
        <w:tc>
          <w:tcPr>
            <w:tcW w:w="2468" w:type="pct"/>
            <w:gridSpan w:val="4"/>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合计</w:t>
            </w:r>
          </w:p>
        </w:tc>
        <w:tc>
          <w:tcPr>
            <w:tcW w:w="689"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 xml:space="preserve">4899.81 </w:t>
            </w:r>
          </w:p>
        </w:tc>
        <w:tc>
          <w:tcPr>
            <w:tcW w:w="1006"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100.00%</w:t>
            </w:r>
          </w:p>
        </w:tc>
        <w:tc>
          <w:tcPr>
            <w:tcW w:w="837" w:type="pct"/>
            <w:tcBorders>
              <w:top w:val="nil"/>
              <w:left w:val="nil"/>
              <w:bottom w:val="single" w:color="auto" w:sz="4" w:space="0"/>
              <w:right w:val="single" w:color="auto" w:sz="4" w:space="0"/>
            </w:tcBorders>
            <w:shd w:val="clear" w:color="auto" w:fill="auto"/>
            <w:tcMar>
              <w:top w:w="15" w:type="dxa"/>
              <w:left w:w="15" w:type="dxa"/>
              <w:bottom w:w="0" w:type="dxa"/>
              <w:right w:w="15" w:type="dxa"/>
            </w:tcMar>
            <w:vAlign w:val="center"/>
          </w:tcPr>
          <w:p>
            <w:pPr>
              <w:pStyle w:val="45"/>
              <w:rPr>
                <w:rFonts w:eastAsia="仿宋" w:cs="Times New Roman"/>
                <w:sz w:val="21"/>
                <w:szCs w:val="21"/>
              </w:rPr>
            </w:pPr>
            <w:r>
              <w:rPr>
                <w:rFonts w:eastAsia="仿宋" w:cs="Times New Roman"/>
                <w:sz w:val="21"/>
                <w:szCs w:val="21"/>
              </w:rPr>
              <w:t>52.20%</w:t>
            </w:r>
          </w:p>
        </w:tc>
      </w:tr>
    </w:tbl>
    <w:p>
      <w:pPr>
        <w:pStyle w:val="6"/>
        <w:numPr>
          <w:ilvl w:val="2"/>
          <w:numId w:val="18"/>
        </w:numPr>
      </w:pPr>
      <w:bookmarkStart w:id="133" w:name="_Toc113925464"/>
      <w:bookmarkStart w:id="134" w:name="_Toc113925716"/>
      <w:r>
        <w:rPr>
          <w:rFonts w:hint="eastAsia"/>
        </w:rPr>
        <w:t>湿地分布</w:t>
      </w:r>
      <w:bookmarkEnd w:id="133"/>
      <w:bookmarkEnd w:id="134"/>
    </w:p>
    <w:p>
      <w:pPr>
        <w:pStyle w:val="47"/>
        <w:numPr>
          <w:ilvl w:val="0"/>
          <w:numId w:val="19"/>
        </w:numPr>
        <w:ind w:firstLineChars="0"/>
        <w:rPr>
          <w:rFonts w:cs="Times New Roman"/>
        </w:rPr>
      </w:pPr>
      <w:r>
        <w:rPr>
          <w:rFonts w:hint="eastAsia" w:cs="Times New Roman"/>
        </w:rPr>
        <w:t>河流湿地</w:t>
      </w:r>
    </w:p>
    <w:p>
      <w:pPr>
        <w:ind w:firstLine="560"/>
        <w:rPr>
          <w:rFonts w:cs="Times New Roman"/>
          <w:szCs w:val="28"/>
        </w:rPr>
      </w:pPr>
      <w:r>
        <w:rPr>
          <w:rFonts w:hint="eastAsia" w:cs="Times New Roman"/>
          <w:szCs w:val="28"/>
        </w:rPr>
        <w:t>分为永久性河流湿地和洪泛平原湿地，永久性河流湿地指湿地公园范围内的渫水、峡峪河、商溪河、仙阳河河道水域，面积</w:t>
      </w:r>
      <w:r>
        <w:rPr>
          <w:rFonts w:cs="Times New Roman"/>
          <w:color w:val="000000"/>
          <w:kern w:val="0"/>
          <w:szCs w:val="28"/>
          <w:lang w:bidi="ar"/>
        </w:rPr>
        <w:t>188.71</w:t>
      </w:r>
      <w:r>
        <w:rPr>
          <w:rFonts w:hint="eastAsia" w:cs="Times New Roman"/>
          <w:szCs w:val="28"/>
        </w:rPr>
        <w:t>公顷；洪泛平原湿地主要指渫水、峡峪河、仙阳河、仙阳湖（皂市水库）上的洲滩，面积</w:t>
      </w:r>
      <w:r>
        <w:rPr>
          <w:rFonts w:cs="Times New Roman"/>
          <w:szCs w:val="28"/>
        </w:rPr>
        <w:t>1232.73</w:t>
      </w:r>
      <w:r>
        <w:rPr>
          <w:rFonts w:hint="eastAsia" w:cs="Times New Roman"/>
          <w:szCs w:val="28"/>
        </w:rPr>
        <w:t>公顷。</w:t>
      </w:r>
    </w:p>
    <w:p>
      <w:pPr>
        <w:pStyle w:val="47"/>
        <w:numPr>
          <w:ilvl w:val="0"/>
          <w:numId w:val="19"/>
        </w:numPr>
        <w:ind w:firstLineChars="0"/>
        <w:rPr>
          <w:rFonts w:cs="Times New Roman"/>
          <w:szCs w:val="28"/>
        </w:rPr>
      </w:pPr>
      <w:r>
        <w:rPr>
          <w:rFonts w:hint="eastAsia" w:cs="Times New Roman"/>
          <w:szCs w:val="28"/>
        </w:rPr>
        <w:t>沼泽湿地</w:t>
      </w:r>
    </w:p>
    <w:p>
      <w:pPr>
        <w:ind w:firstLine="560"/>
        <w:rPr>
          <w:rFonts w:cs="Times New Roman"/>
          <w:szCs w:val="28"/>
        </w:rPr>
      </w:pPr>
      <w:r>
        <w:rPr>
          <w:rFonts w:hint="eastAsia" w:cs="Times New Roman"/>
          <w:szCs w:val="28"/>
        </w:rPr>
        <w:t>主要指规划范围内的森林沼泽，面积</w:t>
      </w:r>
      <w:r>
        <w:rPr>
          <w:rFonts w:cs="Times New Roman"/>
          <w:szCs w:val="28"/>
        </w:rPr>
        <w:t>16.8</w:t>
      </w:r>
      <w:r>
        <w:rPr>
          <w:rFonts w:hint="eastAsia" w:cs="Times New Roman"/>
          <w:szCs w:val="28"/>
        </w:rPr>
        <w:t>7公顷。</w:t>
      </w:r>
    </w:p>
    <w:p>
      <w:pPr>
        <w:pStyle w:val="47"/>
        <w:numPr>
          <w:ilvl w:val="0"/>
          <w:numId w:val="19"/>
        </w:numPr>
        <w:ind w:firstLineChars="0"/>
        <w:rPr>
          <w:rFonts w:cs="Times New Roman"/>
          <w:szCs w:val="28"/>
        </w:rPr>
      </w:pPr>
      <w:r>
        <w:rPr>
          <w:rFonts w:hint="eastAsia" w:cs="Times New Roman"/>
          <w:szCs w:val="28"/>
        </w:rPr>
        <w:t>人工湿地</w:t>
      </w:r>
    </w:p>
    <w:p>
      <w:pPr>
        <w:ind w:firstLine="560"/>
        <w:rPr>
          <w:rFonts w:cs="Times New Roman"/>
          <w:szCs w:val="28"/>
        </w:rPr>
      </w:pPr>
      <w:r>
        <w:rPr>
          <w:rFonts w:hint="eastAsia" w:cs="Times New Roman"/>
          <w:szCs w:val="28"/>
        </w:rPr>
        <w:t>指规划范围内仙阳湖（皂市水库）以及湿地公园内分布的农业灌溉山塘，面积</w:t>
      </w:r>
      <w:r>
        <w:rPr>
          <w:rFonts w:cs="Times New Roman"/>
          <w:color w:val="000000"/>
          <w:kern w:val="0"/>
          <w:szCs w:val="28"/>
          <w:lang w:bidi="ar"/>
        </w:rPr>
        <w:t>3461.5</w:t>
      </w:r>
      <w:r>
        <w:rPr>
          <w:rFonts w:hint="eastAsia" w:cs="Times New Roman"/>
          <w:szCs w:val="28"/>
        </w:rPr>
        <w:t>公顷。</w:t>
      </w:r>
    </w:p>
    <w:p>
      <w:pPr>
        <w:ind w:firstLine="0" w:firstLineChars="0"/>
        <w:rPr>
          <w:rFonts w:cs="Times New Roman"/>
        </w:rPr>
      </w:pPr>
    </w:p>
    <w:p>
      <w:pPr>
        <w:ind w:firstLine="0" w:firstLineChars="0"/>
        <w:rPr>
          <w:rFonts w:cs="Times New Roman"/>
        </w:rPr>
      </w:pPr>
      <w:r>
        <w:rPr>
          <w:rFonts w:hint="eastAsia" w:cs="Times New Roman"/>
        </w:rPr>
        <w:drawing>
          <wp:inline distT="0" distB="0" distL="114300" distR="114300">
            <wp:extent cx="5579745" cy="3028950"/>
            <wp:effectExtent l="0" t="0" r="1905" b="0"/>
            <wp:docPr id="27" name="图片 27" descr="1.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webp"/>
                    <pic:cNvPicPr>
                      <a:picLocks noChangeAspect="1"/>
                    </pic:cNvPicPr>
                  </pic:nvPicPr>
                  <pic:blipFill>
                    <a:blip r:embed="rId19"/>
                    <a:srcRect t="12924"/>
                    <a:stretch>
                      <a:fillRect/>
                    </a:stretch>
                  </pic:blipFill>
                  <pic:spPr>
                    <a:xfrm>
                      <a:off x="0" y="0"/>
                      <a:ext cx="5579745" cy="3028950"/>
                    </a:xfrm>
                    <a:prstGeom prst="rect">
                      <a:avLst/>
                    </a:prstGeom>
                  </pic:spPr>
                </pic:pic>
              </a:graphicData>
            </a:graphic>
          </wp:inline>
        </w:drawing>
      </w:r>
    </w:p>
    <w:p>
      <w:pPr>
        <w:ind w:firstLine="0" w:firstLineChars="0"/>
        <w:jc w:val="center"/>
        <w:rPr>
          <w:rFonts w:cs="Times New Roman"/>
          <w:szCs w:val="28"/>
        </w:rPr>
      </w:pPr>
      <w:r>
        <w:rPr>
          <w:rFonts w:hint="eastAsia" w:ascii="黑体" w:hAnsi="黑体" w:eastAsia="黑体" w:cs="黑体"/>
          <w:sz w:val="24"/>
        </w:rPr>
        <w:t>图</w:t>
      </w:r>
      <w:r>
        <w:rPr>
          <w:rFonts w:hint="eastAsia" w:eastAsia="黑体" w:cs="Times New Roman"/>
          <w:sz w:val="24"/>
        </w:rPr>
        <w:t>3-1</w:t>
      </w:r>
      <w:r>
        <w:rPr>
          <w:rFonts w:hint="eastAsia" w:ascii="黑体" w:hAnsi="黑体" w:eastAsia="黑体" w:cs="黑体"/>
          <w:sz w:val="24"/>
        </w:rPr>
        <w:t xml:space="preserve"> 仙阳湖湿地</w:t>
      </w:r>
    </w:p>
    <w:p>
      <w:pPr>
        <w:pStyle w:val="5"/>
        <w:numPr>
          <w:ilvl w:val="1"/>
          <w:numId w:val="18"/>
        </w:numPr>
        <w:spacing w:before="197"/>
      </w:pPr>
      <w:bookmarkStart w:id="135" w:name="_Toc14803"/>
      <w:bookmarkStart w:id="136" w:name="_Toc113925465"/>
      <w:bookmarkStart w:id="137" w:name="_Toc114084637"/>
      <w:bookmarkStart w:id="138" w:name="_Toc117114364"/>
      <w:bookmarkStart w:id="139" w:name="_Toc10965"/>
      <w:bookmarkStart w:id="140" w:name="_Toc113925717"/>
      <w:r>
        <w:rPr>
          <w:rFonts w:hint="eastAsia"/>
        </w:rPr>
        <w:t>湿地生物多样性</w:t>
      </w:r>
      <w:bookmarkEnd w:id="135"/>
      <w:bookmarkEnd w:id="136"/>
      <w:bookmarkEnd w:id="137"/>
      <w:bookmarkEnd w:id="138"/>
      <w:bookmarkEnd w:id="139"/>
      <w:bookmarkEnd w:id="140"/>
    </w:p>
    <w:p>
      <w:pPr>
        <w:pStyle w:val="6"/>
        <w:numPr>
          <w:ilvl w:val="2"/>
          <w:numId w:val="20"/>
        </w:numPr>
      </w:pPr>
      <w:bookmarkStart w:id="141" w:name="_Toc113925718"/>
      <w:bookmarkStart w:id="142" w:name="_Toc113925466"/>
      <w:r>
        <w:rPr>
          <w:rFonts w:hint="eastAsia"/>
        </w:rPr>
        <w:t>湿地植物资源</w:t>
      </w:r>
      <w:bookmarkEnd w:id="141"/>
      <w:bookmarkEnd w:id="142"/>
    </w:p>
    <w:p>
      <w:pPr>
        <w:ind w:firstLine="560"/>
        <w:rPr>
          <w:rFonts w:cs="Times New Roman"/>
        </w:rPr>
      </w:pPr>
      <w:r>
        <w:rPr>
          <w:rFonts w:cs="Times New Roman"/>
        </w:rPr>
        <w:t>根据吴征镒</w:t>
      </w:r>
      <w:r>
        <w:rPr>
          <w:rFonts w:hint="eastAsia" w:cs="Times New Roman"/>
        </w:rPr>
        <w:t>（</w:t>
      </w:r>
      <w:r>
        <w:rPr>
          <w:rFonts w:cs="Times New Roman"/>
        </w:rPr>
        <w:t>1996</w:t>
      </w:r>
      <w:r>
        <w:rPr>
          <w:rFonts w:hint="eastAsia" w:cs="Times New Roman"/>
        </w:rPr>
        <w:t>）</w:t>
      </w:r>
      <w:r>
        <w:rPr>
          <w:rFonts w:cs="Times New Roman"/>
        </w:rPr>
        <w:t>对中国植物区系的分区，</w:t>
      </w:r>
      <w:r>
        <w:rPr>
          <w:rFonts w:hint="eastAsia" w:cs="Times New Roman"/>
        </w:rPr>
        <w:t>仙阳湖国家湿地公园</w:t>
      </w:r>
      <w:r>
        <w:rPr>
          <w:rFonts w:cs="Times New Roman"/>
        </w:rPr>
        <w:t>植物属华东植物区、中国—日本式分布。在湖南植物区系分区中，该区属于湘西北植物区，植物区系具有华中向华东的过渡特征。大部分为山地、农田、河流</w:t>
      </w:r>
      <w:r>
        <w:rPr>
          <w:rFonts w:hint="eastAsia" w:cs="Times New Roman"/>
        </w:rPr>
        <w:t>，</w:t>
      </w:r>
      <w:r>
        <w:rPr>
          <w:rFonts w:cs="Times New Roman"/>
        </w:rPr>
        <w:t>原生植被消耗殆尽，现状植被以次生植被、人工植被占优势。广布种较多，特有属种少等。植物区系成分以温带性质为主，热带成分也有较高的比例，说明本区区系成分出现较强的热带、亚热带至温带的过渡性质。</w:t>
      </w:r>
    </w:p>
    <w:p>
      <w:pPr>
        <w:ind w:firstLine="560"/>
        <w:rPr>
          <w:rFonts w:cs="Times New Roman"/>
        </w:rPr>
      </w:pPr>
      <w:r>
        <w:rPr>
          <w:rFonts w:cs="Times New Roman"/>
        </w:rPr>
        <w:t>在《中国植被》和《湖南植被》区划上，</w:t>
      </w:r>
      <w:r>
        <w:rPr>
          <w:rFonts w:hint="eastAsia" w:cs="Times New Roman"/>
        </w:rPr>
        <w:t>仙阳湖国家湿地公园</w:t>
      </w:r>
      <w:r>
        <w:rPr>
          <w:rFonts w:cs="Times New Roman"/>
        </w:rPr>
        <w:t>所在区域地处中亚热带典型常绿阔叶林北部植被亚地带，山地马尾松林、杉木林、毛竹林及农田植被区，丘陵植被小区。地带性植被的区系成分主要是壳斗科、樟科、木兰科、山茶科、金缕梅科、杜英科及冬青科、山矾科、竹亚科和亚热带松柏类等植物。根据以上系统，将湿地公园自然植被类型划分为6个植被型组。</w:t>
      </w:r>
    </w:p>
    <w:p>
      <w:pPr>
        <w:ind w:firstLine="560"/>
      </w:pPr>
      <w:r>
        <w:rPr>
          <w:rFonts w:hint="eastAsia" w:cs="Times New Roman"/>
        </w:rPr>
        <w:t>仙阳湖国家湿地公园</w:t>
      </w:r>
      <w:r>
        <w:rPr>
          <w:rFonts w:cs="Times New Roman"/>
        </w:rPr>
        <w:t>湿地植被具有生物多样性丰富、地理成分复杂多样、广布植物繁多的特点。根据对</w:t>
      </w:r>
      <w:r>
        <w:rPr>
          <w:rFonts w:hint="eastAsia" w:cs="Times New Roman"/>
        </w:rPr>
        <w:t>仙阳湖国家湿地公园</w:t>
      </w:r>
      <w:r>
        <w:rPr>
          <w:rFonts w:cs="Times New Roman"/>
        </w:rPr>
        <w:t>调查植物物种的照片拍摄、标本的采集鉴定，结合参考《湖南种子植物总览》、《湖南植物志》、《中国植物志》、《中国高等植物图鉴》、《中国高等植物》等相关植物区系资料整理。</w:t>
      </w:r>
      <w:r>
        <w:rPr>
          <w:rFonts w:hint="eastAsia" w:cs="Times New Roman"/>
        </w:rPr>
        <w:t>经现地补充调查</w:t>
      </w:r>
      <w:r>
        <w:rPr>
          <w:rFonts w:cs="Times New Roman"/>
        </w:rPr>
        <w:t>统计，湿地公园及周边共生长分布有维管植物</w:t>
      </w:r>
      <w:r>
        <w:rPr>
          <w:rFonts w:hint="eastAsia" w:cs="Times New Roman"/>
        </w:rPr>
        <w:t>128科，404属，782种</w:t>
      </w:r>
      <w:r>
        <w:rPr>
          <w:rFonts w:cs="Times New Roman"/>
        </w:rPr>
        <w:t>，其中：蕨类植物12科23属32种；种子植物116科381属750种，包括被子植物112科375属741种，裸子植物4科6属9种。根据《国家重点保护野生植物名录》（2021年第15号），湿地公园内存有国家重点保护植物</w:t>
      </w:r>
      <w:r>
        <w:rPr>
          <w:rFonts w:hint="eastAsia" w:cs="Times New Roman"/>
        </w:rPr>
        <w:t>3</w:t>
      </w:r>
      <w:r>
        <w:rPr>
          <w:rFonts w:cs="Times New Roman"/>
        </w:rPr>
        <w:t>种，其中国家Ⅰ级保护植物1种，为银杏（</w:t>
      </w:r>
      <w:r>
        <w:rPr>
          <w:rFonts w:cs="Times New Roman"/>
          <w:i/>
          <w:iCs/>
        </w:rPr>
        <w:t xml:space="preserve">Ginkgo biloba </w:t>
      </w:r>
      <w:r>
        <w:rPr>
          <w:rFonts w:cs="Times New Roman"/>
        </w:rPr>
        <w:t>L</w:t>
      </w:r>
      <w:r>
        <w:rPr>
          <w:rFonts w:cs="Times New Roman"/>
          <w:i/>
          <w:iCs/>
        </w:rPr>
        <w:t>.</w:t>
      </w:r>
      <w:r>
        <w:rPr>
          <w:rFonts w:cs="Times New Roman"/>
        </w:rPr>
        <w:t>），国家Ⅱ级保护植物</w:t>
      </w:r>
      <w:r>
        <w:rPr>
          <w:rFonts w:hint="eastAsia" w:cs="Times New Roman"/>
        </w:rPr>
        <w:t>2</w:t>
      </w:r>
      <w:r>
        <w:rPr>
          <w:rFonts w:cs="Times New Roman"/>
        </w:rPr>
        <w:t>种，分别为野大豆（</w:t>
      </w:r>
      <w:r>
        <w:rPr>
          <w:rFonts w:cs="Times New Roman"/>
          <w:i/>
          <w:iCs/>
        </w:rPr>
        <w:t>Glycine soja</w:t>
      </w:r>
      <w:r>
        <w:rPr>
          <w:rFonts w:cs="Times New Roman"/>
        </w:rPr>
        <w:t>）、金荞麦（</w:t>
      </w:r>
      <w:r>
        <w:rPr>
          <w:rFonts w:cs="Times New Roman"/>
          <w:i/>
          <w:iCs/>
        </w:rPr>
        <w:t>Fagopyrum dibotrys</w:t>
      </w:r>
      <w:r>
        <w:rPr>
          <w:rFonts w:cs="Times New Roman"/>
        </w:rPr>
        <w:t>）。</w:t>
      </w:r>
    </w:p>
    <w:p>
      <w:pPr>
        <w:ind w:firstLine="0" w:firstLineChars="0"/>
      </w:pPr>
      <w:r>
        <w:rPr>
          <w:rFonts w:hint="eastAsia"/>
        </w:rPr>
        <w:drawing>
          <wp:inline distT="0" distB="0" distL="114300" distR="114300">
            <wp:extent cx="5556885" cy="3121025"/>
            <wp:effectExtent l="0" t="0" r="5715" b="3175"/>
            <wp:docPr id="3" name="图片 3" descr="微信图片_20221026080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21026080527"/>
                    <pic:cNvPicPr>
                      <a:picLocks noChangeAspect="1"/>
                    </pic:cNvPicPr>
                  </pic:nvPicPr>
                  <pic:blipFill>
                    <a:blip r:embed="rId20"/>
                    <a:stretch>
                      <a:fillRect/>
                    </a:stretch>
                  </pic:blipFill>
                  <pic:spPr>
                    <a:xfrm>
                      <a:off x="0" y="0"/>
                      <a:ext cx="5556885" cy="3121025"/>
                    </a:xfrm>
                    <a:prstGeom prst="rect">
                      <a:avLst/>
                    </a:prstGeom>
                  </pic:spPr>
                </pic:pic>
              </a:graphicData>
            </a:graphic>
          </wp:inline>
        </w:drawing>
      </w:r>
    </w:p>
    <w:p>
      <w:pPr>
        <w:ind w:firstLine="0" w:firstLineChars="0"/>
        <w:jc w:val="center"/>
        <w:rPr>
          <w:rFonts w:cs="Times New Roman"/>
        </w:rPr>
      </w:pPr>
      <w:r>
        <w:rPr>
          <w:rFonts w:eastAsia="黑体" w:cs="Times New Roman"/>
          <w:sz w:val="24"/>
        </w:rPr>
        <w:t>图3-2 1300年重阳木</w:t>
      </w:r>
    </w:p>
    <w:p>
      <w:pPr>
        <w:pStyle w:val="6"/>
        <w:numPr>
          <w:ilvl w:val="2"/>
          <w:numId w:val="20"/>
        </w:numPr>
      </w:pPr>
      <w:bookmarkStart w:id="143" w:name="_Toc113925719"/>
      <w:bookmarkStart w:id="144" w:name="_Toc113925467"/>
      <w:r>
        <w:rPr>
          <w:rFonts w:hint="eastAsia"/>
        </w:rPr>
        <w:t>动物资源</w:t>
      </w:r>
      <w:bookmarkEnd w:id="143"/>
      <w:bookmarkEnd w:id="144"/>
    </w:p>
    <w:p>
      <w:pPr>
        <w:ind w:firstLine="560"/>
        <w:rPr>
          <w:rFonts w:cs="Times New Roman"/>
        </w:rPr>
      </w:pPr>
      <w:r>
        <w:rPr>
          <w:rFonts w:hint="eastAsia" w:cs="Times New Roman"/>
        </w:rPr>
        <w:t>据调查统计，仙阳湖国家湿地公园有野生脊椎动物共有5纲2</w:t>
      </w:r>
      <w:r>
        <w:rPr>
          <w:rFonts w:cs="Times New Roman"/>
        </w:rPr>
        <w:t>6</w:t>
      </w:r>
      <w:r>
        <w:rPr>
          <w:rFonts w:hint="eastAsia" w:cs="Times New Roman"/>
        </w:rPr>
        <w:t>目7</w:t>
      </w:r>
      <w:r>
        <w:rPr>
          <w:rFonts w:cs="Times New Roman"/>
        </w:rPr>
        <w:t>1</w:t>
      </w:r>
      <w:r>
        <w:rPr>
          <w:rFonts w:hint="eastAsia" w:cs="Times New Roman"/>
        </w:rPr>
        <w:t>科</w:t>
      </w:r>
      <w:r>
        <w:rPr>
          <w:rFonts w:cs="Times New Roman"/>
        </w:rPr>
        <w:t>208</w:t>
      </w:r>
      <w:r>
        <w:rPr>
          <w:rFonts w:hint="eastAsia" w:cs="Times New Roman"/>
        </w:rPr>
        <w:t>种。其中，鱼纲4目10科43种；两栖纲1目4科10种；爬行纲3目7科22种；鸟纲1</w:t>
      </w:r>
      <w:r>
        <w:rPr>
          <w:rFonts w:cs="Times New Roman"/>
        </w:rPr>
        <w:t>4</w:t>
      </w:r>
      <w:r>
        <w:rPr>
          <w:rFonts w:hint="eastAsia" w:cs="Times New Roman"/>
        </w:rPr>
        <w:t>目4</w:t>
      </w:r>
      <w:r>
        <w:rPr>
          <w:rFonts w:cs="Times New Roman"/>
        </w:rPr>
        <w:t>2</w:t>
      </w:r>
      <w:r>
        <w:rPr>
          <w:rFonts w:hint="eastAsia" w:cs="Times New Roman"/>
        </w:rPr>
        <w:t>科12</w:t>
      </w:r>
      <w:r>
        <w:rPr>
          <w:rFonts w:cs="Times New Roman"/>
        </w:rPr>
        <w:t>0</w:t>
      </w:r>
      <w:r>
        <w:rPr>
          <w:rFonts w:hint="eastAsia" w:cs="Times New Roman"/>
        </w:rPr>
        <w:t>种；哺乳纲4目8科13种。</w:t>
      </w:r>
    </w:p>
    <w:p>
      <w:pPr>
        <w:pStyle w:val="6"/>
        <w:numPr>
          <w:ilvl w:val="2"/>
          <w:numId w:val="20"/>
        </w:numPr>
      </w:pPr>
      <w:bookmarkStart w:id="145" w:name="_Toc113925720"/>
      <w:bookmarkStart w:id="146" w:name="_Toc113925468"/>
      <w:r>
        <w:rPr>
          <w:rFonts w:hint="eastAsia"/>
        </w:rPr>
        <w:t>重点保护动物</w:t>
      </w:r>
      <w:bookmarkEnd w:id="145"/>
      <w:bookmarkEnd w:id="146"/>
    </w:p>
    <w:p>
      <w:pPr>
        <w:ind w:firstLine="560"/>
        <w:rPr>
          <w:rFonts w:cs="Times New Roman"/>
        </w:rPr>
      </w:pPr>
      <w:r>
        <w:rPr>
          <w:rFonts w:hint="eastAsia" w:cs="Times New Roman"/>
        </w:rPr>
        <w:t>仙阳湖国家湿地公园内有众多重点保护野生动物。其中，国家</w:t>
      </w:r>
      <w:r>
        <w:rPr>
          <w:rFonts w:cs="Times New Roman"/>
        </w:rPr>
        <w:fldChar w:fldCharType="begin"/>
      </w:r>
      <w:r>
        <w:rPr>
          <w:rFonts w:cs="Times New Roman"/>
        </w:rPr>
        <w:instrText xml:space="preserve"> = 1 \* ROMAN \* MERGEFORMAT </w:instrText>
      </w:r>
      <w:r>
        <w:rPr>
          <w:rFonts w:cs="Times New Roman"/>
        </w:rPr>
        <w:fldChar w:fldCharType="separate"/>
      </w:r>
      <w:r>
        <w:t>I</w:t>
      </w:r>
      <w:r>
        <w:rPr>
          <w:rFonts w:cs="Times New Roman"/>
        </w:rPr>
        <w:fldChar w:fldCharType="end"/>
      </w:r>
      <w:r>
        <w:rPr>
          <w:rFonts w:hint="eastAsia" w:cs="Times New Roman"/>
        </w:rPr>
        <w:t>级重点保护动物1种，为中华秋沙鸭（</w:t>
      </w:r>
      <w:r>
        <w:rPr>
          <w:rFonts w:cs="Times New Roman"/>
          <w:i/>
          <w:iCs/>
        </w:rPr>
        <w:t>Mergus squamatus</w:t>
      </w:r>
      <w:r>
        <w:rPr>
          <w:rFonts w:hint="eastAsia" w:cs="Times New Roman"/>
        </w:rPr>
        <w:t>）；国家</w:t>
      </w:r>
      <w:r>
        <w:rPr>
          <w:rFonts w:cs="Times New Roman"/>
        </w:rPr>
        <w:t>Ⅱ</w:t>
      </w:r>
      <w:r>
        <w:rPr>
          <w:rFonts w:hint="eastAsia" w:cs="Times New Roman"/>
        </w:rPr>
        <w:t>级重点保护动物</w:t>
      </w:r>
      <w:r>
        <w:rPr>
          <w:rFonts w:cs="Times New Roman"/>
        </w:rPr>
        <w:t>13</w:t>
      </w:r>
      <w:r>
        <w:rPr>
          <w:rFonts w:hint="eastAsia" w:cs="Times New Roman"/>
        </w:rPr>
        <w:t>种，分别是小天鹅（</w:t>
      </w:r>
      <w:r>
        <w:rPr>
          <w:rFonts w:cs="Times New Roman"/>
          <w:i/>
          <w:iCs/>
        </w:rPr>
        <w:t>Cygnus columbianus</w:t>
      </w:r>
      <w:r>
        <w:rPr>
          <w:rFonts w:hint="eastAsia" w:cs="Times New Roman"/>
        </w:rPr>
        <w:t>）、</w:t>
      </w:r>
      <w:r>
        <w:rPr>
          <w:rFonts w:hint="eastAsia"/>
          <w:szCs w:val="28"/>
          <w:lang w:val="zh-CN"/>
        </w:rPr>
        <w:t>黑鸢（</w:t>
      </w:r>
      <w:r>
        <w:rPr>
          <w:i/>
          <w:iCs/>
          <w:szCs w:val="28"/>
          <w:lang w:val="zh-CN"/>
        </w:rPr>
        <w:t>Milvus migrans</w:t>
      </w:r>
      <w:r>
        <w:rPr>
          <w:rFonts w:hint="eastAsia"/>
          <w:szCs w:val="28"/>
          <w:lang w:val="zh-CN"/>
        </w:rPr>
        <w:t>）、云雀（</w:t>
      </w:r>
      <w:r>
        <w:rPr>
          <w:i/>
          <w:iCs/>
          <w:szCs w:val="28"/>
          <w:lang w:val="zh-CN"/>
        </w:rPr>
        <w:t>Alauda arvensis</w:t>
      </w:r>
      <w:r>
        <w:rPr>
          <w:rFonts w:hint="eastAsia"/>
          <w:szCs w:val="28"/>
          <w:lang w:val="zh-CN"/>
        </w:rPr>
        <w:t>）、画眉（</w:t>
      </w:r>
      <w:r>
        <w:rPr>
          <w:i/>
          <w:iCs/>
          <w:szCs w:val="28"/>
          <w:lang w:val="zh-CN"/>
        </w:rPr>
        <w:t>Garrulax canorus</w:t>
      </w:r>
      <w:r>
        <w:rPr>
          <w:rFonts w:hint="eastAsia"/>
          <w:szCs w:val="28"/>
          <w:lang w:val="zh-CN"/>
        </w:rPr>
        <w:t>）、</w:t>
      </w:r>
      <w:r>
        <w:rPr>
          <w:rFonts w:hint="eastAsia" w:cs="Times New Roman"/>
        </w:rPr>
        <w:t>虎纹蛙（</w:t>
      </w:r>
      <w:r>
        <w:rPr>
          <w:rFonts w:cs="Times New Roman"/>
          <w:i/>
          <w:iCs/>
        </w:rPr>
        <w:t>Rana tigrina</w:t>
      </w:r>
      <w:r>
        <w:rPr>
          <w:rFonts w:hint="eastAsia" w:cs="Times New Roman"/>
        </w:rPr>
        <w:t>）、鸳鸯（</w:t>
      </w:r>
      <w:r>
        <w:rPr>
          <w:rFonts w:cs="Times New Roman"/>
          <w:i/>
          <w:iCs/>
        </w:rPr>
        <w:t>Aix galericula</w:t>
      </w:r>
      <w:r>
        <w:rPr>
          <w:rFonts w:hint="eastAsia" w:cs="Times New Roman"/>
        </w:rPr>
        <w:t>）、普通鵟（</w:t>
      </w:r>
      <w:r>
        <w:rPr>
          <w:rFonts w:cs="Times New Roman"/>
          <w:i/>
          <w:iCs/>
        </w:rPr>
        <w:t>Buteo buteo japonicas</w:t>
      </w:r>
      <w:r>
        <w:rPr>
          <w:rFonts w:hint="eastAsia" w:cs="Times New Roman"/>
        </w:rPr>
        <w:t>）、白尾鹞（</w:t>
      </w:r>
      <w:r>
        <w:rPr>
          <w:rFonts w:cs="Times New Roman"/>
          <w:i/>
          <w:iCs/>
        </w:rPr>
        <w:t>Circus cyaneus</w:t>
      </w:r>
      <w:r>
        <w:rPr>
          <w:rFonts w:hint="eastAsia" w:cs="Times New Roman"/>
        </w:rPr>
        <w:t>）、红隼（</w:t>
      </w:r>
      <w:r>
        <w:rPr>
          <w:rFonts w:cs="Times New Roman"/>
          <w:i/>
          <w:iCs/>
        </w:rPr>
        <w:t>Falco tinnunculus interstincyus</w:t>
      </w:r>
      <w:r>
        <w:rPr>
          <w:rFonts w:hint="eastAsia" w:cs="Times New Roman"/>
        </w:rPr>
        <w:t>）、褐翅鸦鹃（</w:t>
      </w:r>
      <w:r>
        <w:rPr>
          <w:rFonts w:cs="Times New Roman"/>
          <w:i/>
          <w:iCs/>
        </w:rPr>
        <w:t>Ceptropus sinensis</w:t>
      </w:r>
      <w:r>
        <w:rPr>
          <w:rFonts w:hint="eastAsia" w:cs="Times New Roman"/>
        </w:rPr>
        <w:t>）、蛇雕（</w:t>
      </w:r>
      <w:r>
        <w:rPr>
          <w:rFonts w:cs="Times New Roman"/>
          <w:i/>
          <w:iCs/>
        </w:rPr>
        <w:t>Silornis cheela</w:t>
      </w:r>
      <w:r>
        <w:rPr>
          <w:rFonts w:hint="eastAsia" w:cs="Times New Roman"/>
        </w:rPr>
        <w:t>）、东方角鸮（</w:t>
      </w:r>
      <w:r>
        <w:rPr>
          <w:rFonts w:cs="Times New Roman"/>
          <w:i/>
          <w:iCs/>
        </w:rPr>
        <w:t>Otus sunia malayanus</w:t>
      </w:r>
      <w:r>
        <w:rPr>
          <w:rFonts w:hint="eastAsia" w:cs="Times New Roman"/>
        </w:rPr>
        <w:t>）和斑头鸺鶹（</w:t>
      </w:r>
      <w:r>
        <w:rPr>
          <w:rFonts w:cs="Times New Roman"/>
          <w:i/>
          <w:iCs/>
        </w:rPr>
        <w:t>Glaucidium cuculoides whiteleyi</w:t>
      </w:r>
      <w:r>
        <w:rPr>
          <w:rFonts w:hint="eastAsia" w:cs="Times New Roman"/>
        </w:rPr>
        <w:t>）。中国特有动物17种；列入《国家保护的有益的或者有重要经济、科学研究价值的陆生野生动物名录》的两栖动物和鸟类和兽类达121种；湖南省重点保护动物102种；IUCN易危动物10种，IUCN近危动物1</w:t>
      </w:r>
      <w:r>
        <w:rPr>
          <w:rFonts w:cs="Times New Roman"/>
        </w:rPr>
        <w:t>1</w:t>
      </w:r>
      <w:r>
        <w:rPr>
          <w:rFonts w:hint="eastAsia" w:cs="Times New Roman"/>
        </w:rPr>
        <w:t>种。</w:t>
      </w:r>
    </w:p>
    <w:p>
      <w:pPr>
        <w:ind w:firstLine="0" w:firstLineChars="0"/>
        <w:rPr>
          <w:rFonts w:cs="Times New Roman"/>
        </w:rPr>
      </w:pPr>
      <w:r>
        <w:rPr>
          <w:rFonts w:hint="eastAsia" w:cs="Times New Roman"/>
        </w:rPr>
        <w:drawing>
          <wp:inline distT="0" distB="0" distL="114300" distR="114300">
            <wp:extent cx="5574030" cy="3531235"/>
            <wp:effectExtent l="0" t="0" r="7620" b="12065"/>
            <wp:docPr id="28" name="图片 28" descr="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webp"/>
                    <pic:cNvPicPr>
                      <a:picLocks noChangeAspect="1"/>
                    </pic:cNvPicPr>
                  </pic:nvPicPr>
                  <pic:blipFill>
                    <a:blip r:embed="rId21"/>
                    <a:stretch>
                      <a:fillRect/>
                    </a:stretch>
                  </pic:blipFill>
                  <pic:spPr>
                    <a:xfrm>
                      <a:off x="0" y="0"/>
                      <a:ext cx="5574030" cy="3531235"/>
                    </a:xfrm>
                    <a:prstGeom prst="rect">
                      <a:avLst/>
                    </a:prstGeom>
                  </pic:spPr>
                </pic:pic>
              </a:graphicData>
            </a:graphic>
          </wp:inline>
        </w:drawing>
      </w:r>
    </w:p>
    <w:p>
      <w:pPr>
        <w:ind w:firstLine="0" w:firstLineChars="0"/>
        <w:jc w:val="center"/>
        <w:rPr>
          <w:rFonts w:cs="Times New Roman"/>
          <w:szCs w:val="28"/>
        </w:rPr>
      </w:pPr>
      <w:r>
        <w:rPr>
          <w:rFonts w:hint="eastAsia" w:ascii="黑体" w:hAnsi="黑体" w:eastAsia="黑体" w:cs="黑体"/>
          <w:sz w:val="24"/>
        </w:rPr>
        <w:t>图</w:t>
      </w:r>
      <w:r>
        <w:rPr>
          <w:rFonts w:hint="eastAsia" w:eastAsia="黑体" w:cs="Times New Roman"/>
          <w:sz w:val="24"/>
        </w:rPr>
        <w:t>3-3</w:t>
      </w:r>
      <w:r>
        <w:rPr>
          <w:rFonts w:hint="eastAsia" w:ascii="黑体" w:hAnsi="黑体" w:eastAsia="黑体" w:cs="黑体"/>
          <w:sz w:val="24"/>
        </w:rPr>
        <w:t xml:space="preserve"> 中华秋沙鸭</w:t>
      </w:r>
    </w:p>
    <w:p>
      <w:pPr>
        <w:pStyle w:val="5"/>
        <w:numPr>
          <w:ilvl w:val="1"/>
          <w:numId w:val="20"/>
        </w:numPr>
        <w:spacing w:before="197"/>
      </w:pPr>
      <w:bookmarkStart w:id="147" w:name="_Toc113925721"/>
      <w:bookmarkStart w:id="148" w:name="_Toc114084638"/>
      <w:bookmarkStart w:id="149" w:name="_Toc113925469"/>
      <w:bookmarkStart w:id="150" w:name="_Toc4341"/>
      <w:bookmarkStart w:id="151" w:name="_Toc14931"/>
      <w:bookmarkStart w:id="152" w:name="_Toc117114365"/>
      <w:r>
        <w:rPr>
          <w:rFonts w:hint="eastAsia"/>
        </w:rPr>
        <w:t>湿地景观和文化资源</w:t>
      </w:r>
      <w:bookmarkEnd w:id="147"/>
      <w:bookmarkEnd w:id="148"/>
      <w:bookmarkEnd w:id="149"/>
      <w:bookmarkEnd w:id="150"/>
      <w:bookmarkEnd w:id="151"/>
      <w:bookmarkEnd w:id="152"/>
    </w:p>
    <w:p>
      <w:pPr>
        <w:pStyle w:val="6"/>
      </w:pPr>
      <w:bookmarkStart w:id="153" w:name="_Toc113925722"/>
      <w:bookmarkStart w:id="154" w:name="_Toc113925470"/>
      <w:r>
        <w:rPr>
          <w:rFonts w:hint="eastAsia"/>
        </w:rPr>
        <w:t>湿地景观资源</w:t>
      </w:r>
      <w:bookmarkEnd w:id="153"/>
      <w:bookmarkEnd w:id="154"/>
    </w:p>
    <w:p>
      <w:pPr>
        <w:ind w:firstLine="560"/>
        <w:rPr>
          <w:rFonts w:cs="Times New Roman"/>
        </w:rPr>
      </w:pPr>
      <w:r>
        <w:rPr>
          <w:rFonts w:hint="eastAsia" w:cs="Times New Roman"/>
        </w:rPr>
        <w:t>湿地是自然界生物多样性最富有和生态功能最高的生态系统。湿地生态系统是湿生、中生和水生植物、动物、微生物和环境要素之间密切联系、相互作用，通过物质交换、能量转换和信息传递所构成的占据一定空间、具有一定结构、执行一定功能的动态平衡整体。湿地丰富的组成要素造就了其丰富多样的湿地景观和文化资源。</w:t>
      </w:r>
    </w:p>
    <w:p>
      <w:pPr>
        <w:pStyle w:val="47"/>
        <w:numPr>
          <w:ilvl w:val="255"/>
          <w:numId w:val="0"/>
        </w:numPr>
        <w:ind w:firstLine="560" w:firstLineChars="200"/>
        <w:rPr>
          <w:rFonts w:cs="Times New Roman"/>
        </w:rPr>
      </w:pPr>
      <w:r>
        <w:rPr>
          <w:rFonts w:hint="eastAsia" w:cs="Times New Roman"/>
        </w:rPr>
        <w:t>（</w:t>
      </w:r>
      <w:r>
        <w:rPr>
          <w:rFonts w:cs="Times New Roman"/>
        </w:rPr>
        <w:t>1</w:t>
      </w:r>
      <w:r>
        <w:rPr>
          <w:rFonts w:hint="eastAsia" w:cs="Times New Roman"/>
        </w:rPr>
        <w:t>）水域景观</w:t>
      </w:r>
    </w:p>
    <w:p>
      <w:pPr>
        <w:ind w:firstLine="560"/>
        <w:rPr>
          <w:rFonts w:cs="Times New Roman"/>
        </w:rPr>
      </w:pPr>
      <w:r>
        <w:rPr>
          <w:rFonts w:hint="eastAsia" w:cs="Times New Roman"/>
        </w:rPr>
        <w:t>水域景观是湿地公园里重要的旅游资源和灵魂，仙阳湖（皂市水库）汇水面积达</w:t>
      </w:r>
      <w:r>
        <w:rPr>
          <w:rFonts w:cs="Times New Roman"/>
        </w:rPr>
        <w:t>3000</w:t>
      </w:r>
      <w:r>
        <w:rPr>
          <w:rFonts w:hint="eastAsia" w:cs="Times New Roman"/>
        </w:rPr>
        <w:t>公顷，水域宽广，岸线迂回，静若明镜；另有渫水以及峡峪河、商溪河、仙阳河等河流，蜿蜒逶迤，深入幽谷，谷中溪水潺潺，泉潭相间，多陡坎跌水，三条大冲特色各异，或适于溪水嬉戏，或适于踏石听涛，或适于泛舟游弋，大冲深处，又分溪涧，空间丰富，层次多样。</w:t>
      </w:r>
    </w:p>
    <w:p>
      <w:pPr>
        <w:pStyle w:val="47"/>
        <w:numPr>
          <w:ilvl w:val="255"/>
          <w:numId w:val="0"/>
        </w:numPr>
        <w:rPr>
          <w:rFonts w:cs="Times New Roman"/>
        </w:rPr>
      </w:pPr>
      <w:r>
        <w:rPr>
          <w:rFonts w:hint="eastAsia" w:cs="Times New Roman"/>
        </w:rPr>
        <w:drawing>
          <wp:inline distT="0" distB="0" distL="114300" distR="114300">
            <wp:extent cx="5575935" cy="3815715"/>
            <wp:effectExtent l="0" t="0" r="5715" b="13335"/>
            <wp:docPr id="29" name="图片 29" descr="仙阳湖A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仙阳湖A44"/>
                    <pic:cNvPicPr>
                      <a:picLocks noChangeAspect="1"/>
                    </pic:cNvPicPr>
                  </pic:nvPicPr>
                  <pic:blipFill>
                    <a:blip r:embed="rId22"/>
                    <a:stretch>
                      <a:fillRect/>
                    </a:stretch>
                  </pic:blipFill>
                  <pic:spPr>
                    <a:xfrm>
                      <a:off x="0" y="0"/>
                      <a:ext cx="5575935" cy="3815715"/>
                    </a:xfrm>
                    <a:prstGeom prst="rect">
                      <a:avLst/>
                    </a:prstGeom>
                  </pic:spPr>
                </pic:pic>
              </a:graphicData>
            </a:graphic>
          </wp:inline>
        </w:drawing>
      </w:r>
    </w:p>
    <w:p>
      <w:pPr>
        <w:ind w:firstLine="0" w:firstLineChars="0"/>
        <w:jc w:val="center"/>
        <w:rPr>
          <w:rFonts w:cs="Times New Roman"/>
          <w:szCs w:val="28"/>
        </w:rPr>
      </w:pPr>
      <w:r>
        <w:rPr>
          <w:rFonts w:hint="eastAsia" w:ascii="黑体" w:hAnsi="黑体" w:eastAsia="黑体" w:cs="黑体"/>
          <w:sz w:val="24"/>
        </w:rPr>
        <w:t>图</w:t>
      </w:r>
      <w:r>
        <w:rPr>
          <w:rFonts w:hint="eastAsia" w:eastAsia="黑体" w:cs="Times New Roman"/>
          <w:sz w:val="24"/>
        </w:rPr>
        <w:t>3-4</w:t>
      </w:r>
      <w:r>
        <w:rPr>
          <w:rFonts w:hint="eastAsia" w:ascii="黑体" w:hAnsi="黑体" w:eastAsia="黑体" w:cs="黑体"/>
          <w:sz w:val="24"/>
        </w:rPr>
        <w:t xml:space="preserve"> 仙阳湖水域景观</w:t>
      </w:r>
    </w:p>
    <w:p>
      <w:pPr>
        <w:pStyle w:val="47"/>
        <w:numPr>
          <w:ilvl w:val="255"/>
          <w:numId w:val="0"/>
        </w:numPr>
        <w:ind w:firstLine="560" w:firstLineChars="200"/>
        <w:rPr>
          <w:rFonts w:cs="Times New Roman"/>
        </w:rPr>
      </w:pPr>
      <w:r>
        <w:rPr>
          <w:rFonts w:hint="eastAsia" w:cs="Times New Roman"/>
        </w:rPr>
        <w:t>（</w:t>
      </w:r>
      <w:r>
        <w:rPr>
          <w:rFonts w:cs="Times New Roman"/>
        </w:rPr>
        <w:t>2</w:t>
      </w:r>
      <w:r>
        <w:rPr>
          <w:rFonts w:hint="eastAsia" w:cs="Times New Roman"/>
        </w:rPr>
        <w:t>）地文景观</w:t>
      </w:r>
    </w:p>
    <w:p>
      <w:pPr>
        <w:ind w:firstLine="560"/>
        <w:rPr>
          <w:rFonts w:cs="Times New Roman"/>
        </w:rPr>
      </w:pPr>
      <w:r>
        <w:rPr>
          <w:rFonts w:hint="eastAsia" w:cs="Times New Roman"/>
        </w:rPr>
        <w:t>在蜿蜒曲折的仙阳湖两岸，是此起彼伏的丘陵岗地，丘陵地貌中大小库汊、库湾形态各异，与宽广的水库水面交相辉映，造就了仙阳湖两岸奇特的景观，令来者流连忘返。目前已经形成景点的有龙王洞、万仞洞、观音洞、马鞍岛、峡峪河、</w:t>
      </w:r>
      <w:r>
        <w:fldChar w:fldCharType="begin"/>
      </w:r>
      <w:r>
        <w:instrText xml:space="preserve"> HYPERLINK "https://baike.baidu.com/item/%E4%BB%99%E4%BA%BA%E6%B4%9E/10224953?fromModule=lemma_inlink" \t "https://baike.baidu.com/item/_blank" </w:instrText>
      </w:r>
      <w:r>
        <w:fldChar w:fldCharType="separate"/>
      </w:r>
      <w:r>
        <w:rPr>
          <w:rFonts w:cs="Times New Roman"/>
        </w:rPr>
        <w:t>仙人洞</w:t>
      </w:r>
      <w:r>
        <w:rPr>
          <w:rFonts w:cs="Times New Roman"/>
        </w:rPr>
        <w:fldChar w:fldCharType="end"/>
      </w:r>
      <w:r>
        <w:rPr>
          <w:rFonts w:hint="eastAsia" w:cs="Times New Roman"/>
        </w:rPr>
        <w:t>、樱花溪、热水溪等。其中，最著名的属龙王洞，是武陵山北麓一座景观奇特的大溶洞。据中国地质科研所评估，龙王洞已经有6亿年的历史，且仍在生长，是世上为数不多的活的溶洞之一。</w:t>
      </w:r>
    </w:p>
    <w:p>
      <w:pPr>
        <w:ind w:firstLine="0" w:firstLineChars="0"/>
        <w:rPr>
          <w:rFonts w:cs="Times New Roman"/>
        </w:rPr>
      </w:pPr>
      <w:r>
        <w:rPr>
          <w:rFonts w:hint="eastAsia" w:cs="Times New Roman"/>
        </w:rPr>
        <w:drawing>
          <wp:inline distT="0" distB="0" distL="114300" distR="114300">
            <wp:extent cx="5567680" cy="3315970"/>
            <wp:effectExtent l="0" t="0" r="13970" b="17780"/>
            <wp:docPr id="30" name="图片 3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4"/>
                    <pic:cNvPicPr>
                      <a:picLocks noChangeAspect="1"/>
                    </pic:cNvPicPr>
                  </pic:nvPicPr>
                  <pic:blipFill>
                    <a:blip r:embed="rId23"/>
                    <a:stretch>
                      <a:fillRect/>
                    </a:stretch>
                  </pic:blipFill>
                  <pic:spPr>
                    <a:xfrm>
                      <a:off x="0" y="0"/>
                      <a:ext cx="5567680" cy="3315970"/>
                    </a:xfrm>
                    <a:prstGeom prst="rect">
                      <a:avLst/>
                    </a:prstGeom>
                  </pic:spPr>
                </pic:pic>
              </a:graphicData>
            </a:graphic>
          </wp:inline>
        </w:drawing>
      </w:r>
    </w:p>
    <w:p>
      <w:pPr>
        <w:ind w:firstLine="0" w:firstLineChars="0"/>
        <w:jc w:val="center"/>
        <w:rPr>
          <w:rFonts w:cs="Times New Roman"/>
          <w:szCs w:val="28"/>
        </w:rPr>
      </w:pPr>
      <w:r>
        <w:rPr>
          <w:rFonts w:hint="eastAsia" w:ascii="黑体" w:hAnsi="黑体" w:eastAsia="黑体" w:cs="黑体"/>
          <w:sz w:val="24"/>
        </w:rPr>
        <w:t>图</w:t>
      </w:r>
      <w:r>
        <w:rPr>
          <w:rFonts w:hint="eastAsia" w:eastAsia="黑体" w:cs="Times New Roman"/>
          <w:sz w:val="24"/>
        </w:rPr>
        <w:t>3-5</w:t>
      </w:r>
      <w:r>
        <w:rPr>
          <w:rFonts w:hint="eastAsia" w:ascii="黑体" w:hAnsi="黑体" w:eastAsia="黑体" w:cs="黑体"/>
          <w:sz w:val="24"/>
        </w:rPr>
        <w:t xml:space="preserve"> 龙王洞</w:t>
      </w:r>
    </w:p>
    <w:p>
      <w:pPr>
        <w:pStyle w:val="47"/>
        <w:numPr>
          <w:ilvl w:val="255"/>
          <w:numId w:val="0"/>
        </w:numPr>
        <w:ind w:firstLine="560" w:firstLineChars="200"/>
        <w:rPr>
          <w:rFonts w:cs="Times New Roman"/>
        </w:rPr>
      </w:pPr>
      <w:r>
        <w:rPr>
          <w:rFonts w:hint="eastAsia" w:cs="Times New Roman"/>
        </w:rPr>
        <w:t>（</w:t>
      </w:r>
      <w:r>
        <w:rPr>
          <w:rFonts w:cs="Times New Roman"/>
        </w:rPr>
        <w:t>3</w:t>
      </w:r>
      <w:r>
        <w:rPr>
          <w:rFonts w:hint="eastAsia" w:cs="Times New Roman"/>
        </w:rPr>
        <w:t>）生物景观</w:t>
      </w:r>
    </w:p>
    <w:p>
      <w:pPr>
        <w:ind w:firstLine="560"/>
        <w:rPr>
          <w:rFonts w:cs="Times New Roman"/>
        </w:rPr>
      </w:pPr>
      <w:r>
        <w:rPr>
          <w:rFonts w:hint="eastAsia" w:cs="Times New Roman"/>
        </w:rPr>
        <w:t>仙阳湖国家湿地公园开放的水域、肥沃的洲滩孕育了丰富的生物资源。据调查，湿地公园内有6个植被型，维管植物133科</w:t>
      </w:r>
      <w:r>
        <w:rPr>
          <w:rFonts w:cs="Times New Roman"/>
        </w:rPr>
        <w:t>4</w:t>
      </w:r>
      <w:r>
        <w:rPr>
          <w:rFonts w:hint="eastAsia" w:cs="Times New Roman"/>
        </w:rPr>
        <w:t>70属804种；同时，湿地公园内有丰富的鱼类和软体动物等水生动物，也有丰富的白鹭等水鸟。仙阳湖河畔和洲滩中自然草本沼泽是众多水禽与鱼类栖息的理想场所，众鸟归巢、群幼待哺、鲤鱼跳龙门等景象给湿地公园带来了勃勃生机。</w:t>
      </w:r>
    </w:p>
    <w:p>
      <w:pPr>
        <w:ind w:firstLine="560"/>
        <w:rPr>
          <w:rFonts w:cs="Times New Roman"/>
        </w:rPr>
      </w:pPr>
      <w:r>
        <w:rPr>
          <w:rFonts w:hint="eastAsia" w:cs="Times New Roman"/>
        </w:rPr>
        <w:t>丰富的生物资源给仙阳湖国家湿地公园的建设带来了良好的资源基础，一年四季景色怡人，可以提供人们垂钓、鸟类观赏、科普教育、休闲娱乐等一系列的旅游观光项目。</w:t>
      </w:r>
    </w:p>
    <w:p>
      <w:pPr>
        <w:ind w:firstLine="0" w:firstLineChars="0"/>
        <w:rPr>
          <w:rFonts w:cs="Times New Roman"/>
        </w:rPr>
      </w:pPr>
      <w:r>
        <w:rPr>
          <w:rFonts w:hint="eastAsia" w:cs="Times New Roman"/>
        </w:rPr>
        <w:drawing>
          <wp:inline distT="0" distB="0" distL="114300" distR="114300">
            <wp:extent cx="5575300" cy="3789045"/>
            <wp:effectExtent l="0" t="0" r="6350" b="1905"/>
            <wp:docPr id="31" name="图片 31" descr="4e49dd5700a2454e80b94c0d89a0e7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4e49dd5700a2454e80b94c0d89a0e7a9"/>
                    <pic:cNvPicPr>
                      <a:picLocks noChangeAspect="1"/>
                    </pic:cNvPicPr>
                  </pic:nvPicPr>
                  <pic:blipFill>
                    <a:blip r:embed="rId24"/>
                    <a:stretch>
                      <a:fillRect/>
                    </a:stretch>
                  </pic:blipFill>
                  <pic:spPr>
                    <a:xfrm>
                      <a:off x="0" y="0"/>
                      <a:ext cx="5575300" cy="3789045"/>
                    </a:xfrm>
                    <a:prstGeom prst="rect">
                      <a:avLst/>
                    </a:prstGeom>
                  </pic:spPr>
                </pic:pic>
              </a:graphicData>
            </a:graphic>
          </wp:inline>
        </w:drawing>
      </w:r>
    </w:p>
    <w:p>
      <w:pPr>
        <w:ind w:firstLine="0" w:firstLineChars="0"/>
        <w:jc w:val="center"/>
        <w:rPr>
          <w:rFonts w:cs="Times New Roman"/>
          <w:szCs w:val="28"/>
        </w:rPr>
      </w:pPr>
      <w:r>
        <w:rPr>
          <w:rFonts w:hint="eastAsia" w:ascii="黑体" w:hAnsi="黑体" w:eastAsia="黑体" w:cs="黑体"/>
          <w:sz w:val="24"/>
        </w:rPr>
        <w:t>图</w:t>
      </w:r>
      <w:r>
        <w:rPr>
          <w:rFonts w:hint="eastAsia" w:eastAsia="黑体" w:cs="Times New Roman"/>
          <w:sz w:val="24"/>
        </w:rPr>
        <w:t>3-6</w:t>
      </w:r>
      <w:r>
        <w:rPr>
          <w:rFonts w:hint="eastAsia" w:ascii="黑体" w:hAnsi="黑体" w:eastAsia="黑体" w:cs="黑体"/>
          <w:sz w:val="24"/>
        </w:rPr>
        <w:t xml:space="preserve"> 黑翅长脚鹬</w:t>
      </w:r>
    </w:p>
    <w:p>
      <w:pPr>
        <w:pStyle w:val="6"/>
      </w:pPr>
      <w:bookmarkStart w:id="155" w:name="_Toc113925723"/>
      <w:bookmarkStart w:id="156" w:name="_Toc113925471"/>
      <w:r>
        <w:rPr>
          <w:rFonts w:hint="eastAsia"/>
        </w:rPr>
        <w:t>湿地文化资源</w:t>
      </w:r>
      <w:bookmarkEnd w:id="155"/>
      <w:bookmarkEnd w:id="156"/>
    </w:p>
    <w:p>
      <w:pPr>
        <w:pStyle w:val="47"/>
        <w:numPr>
          <w:ilvl w:val="255"/>
          <w:numId w:val="0"/>
        </w:numPr>
        <w:ind w:firstLine="560" w:firstLineChars="200"/>
        <w:rPr>
          <w:rFonts w:cs="Times New Roman"/>
        </w:rPr>
      </w:pPr>
      <w:r>
        <w:rPr>
          <w:rFonts w:hint="eastAsia" w:cs="Times New Roman"/>
        </w:rPr>
        <w:t>（1）历史悠久</w:t>
      </w:r>
    </w:p>
    <w:p>
      <w:pPr>
        <w:ind w:firstLine="560"/>
        <w:rPr>
          <w:rFonts w:cs="Times New Roman"/>
        </w:rPr>
      </w:pPr>
      <w:r>
        <w:rPr>
          <w:rFonts w:hint="eastAsia" w:cs="Times New Roman"/>
        </w:rPr>
        <w:t>上世纪90年代，考古学家在距县城25公里的燕尔洞内发掘出了距今3万年前古人类化石，并从洞中发现了大量石器、骨器等劳动工具和并存的动物骨骼化石，证明该洞是早期人类生息活动过的场所。燕尔洞出土的人类股骨，是湖南省境内首次发现的古人类化石，考古学上，被命名</w:t>
      </w:r>
      <w:r>
        <w:rPr>
          <w:rFonts w:hint="eastAsia" w:ascii="仿宋" w:hAnsi="仿宋" w:cs="仿宋"/>
        </w:rPr>
        <w:t>为“石门人”，“石门人”的</w:t>
      </w:r>
      <w:r>
        <w:rPr>
          <w:rFonts w:hint="eastAsia" w:cs="Times New Roman"/>
        </w:rPr>
        <w:t>发现，填补了湖南省石器时代人类化石的空白，在考古界产生了重大影响。此外，湿地公园内还发现有</w:t>
      </w:r>
      <w:bookmarkStart w:id="157" w:name="_Hlk112099594"/>
      <w:r>
        <w:rPr>
          <w:rFonts w:hint="eastAsia" w:cs="Times New Roman"/>
        </w:rPr>
        <w:t>古代巴人千年悬棺和船棺遗址、皂市遗址、维新战国古城遗址、阳泉汉代凤凰城遗址等历史古迹</w:t>
      </w:r>
      <w:bookmarkEnd w:id="157"/>
      <w:r>
        <w:rPr>
          <w:rFonts w:hint="eastAsia" w:cs="Times New Roman"/>
        </w:rPr>
        <w:t>。</w:t>
      </w:r>
    </w:p>
    <w:p>
      <w:pPr>
        <w:pStyle w:val="47"/>
        <w:numPr>
          <w:ilvl w:val="255"/>
          <w:numId w:val="0"/>
        </w:numPr>
        <w:rPr>
          <w:rFonts w:cs="Times New Roman"/>
        </w:rPr>
      </w:pPr>
      <w:r>
        <w:rPr>
          <w:rFonts w:hint="eastAsia" w:cs="Times New Roman"/>
        </w:rPr>
        <w:drawing>
          <wp:inline distT="0" distB="0" distL="114300" distR="114300">
            <wp:extent cx="5600065" cy="4199890"/>
            <wp:effectExtent l="0" t="0" r="635" b="10160"/>
            <wp:docPr id="10" name="图片 10" descr="微信图片_20230106153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图片_20230106153925"/>
                    <pic:cNvPicPr>
                      <a:picLocks noChangeAspect="1"/>
                    </pic:cNvPicPr>
                  </pic:nvPicPr>
                  <pic:blipFill>
                    <a:blip r:embed="rId25"/>
                    <a:stretch>
                      <a:fillRect/>
                    </a:stretch>
                  </pic:blipFill>
                  <pic:spPr>
                    <a:xfrm>
                      <a:off x="0" y="0"/>
                      <a:ext cx="5600065" cy="4199890"/>
                    </a:xfrm>
                    <a:prstGeom prst="rect">
                      <a:avLst/>
                    </a:prstGeom>
                  </pic:spPr>
                </pic:pic>
              </a:graphicData>
            </a:graphic>
          </wp:inline>
        </w:drawing>
      </w:r>
    </w:p>
    <w:p>
      <w:pPr>
        <w:ind w:firstLine="0" w:firstLineChars="0"/>
        <w:jc w:val="center"/>
        <w:rPr>
          <w:rFonts w:cs="Times New Roman"/>
          <w:szCs w:val="28"/>
        </w:rPr>
      </w:pPr>
      <w:r>
        <w:rPr>
          <w:rFonts w:hint="eastAsia" w:ascii="黑体" w:hAnsi="黑体" w:eastAsia="黑体" w:cs="黑体"/>
          <w:sz w:val="24"/>
        </w:rPr>
        <w:t>图</w:t>
      </w:r>
      <w:r>
        <w:rPr>
          <w:rFonts w:hint="eastAsia" w:eastAsia="黑体" w:cs="Times New Roman"/>
          <w:sz w:val="24"/>
        </w:rPr>
        <w:t>3-7</w:t>
      </w:r>
      <w:r>
        <w:rPr>
          <w:rFonts w:hint="eastAsia" w:ascii="黑体" w:hAnsi="黑体" w:eastAsia="黑体" w:cs="黑体"/>
          <w:sz w:val="24"/>
        </w:rPr>
        <w:t xml:space="preserve"> 全国重点文物保护单位-皂市遗址</w:t>
      </w:r>
    </w:p>
    <w:p>
      <w:pPr>
        <w:pStyle w:val="47"/>
        <w:numPr>
          <w:ilvl w:val="255"/>
          <w:numId w:val="0"/>
        </w:numPr>
        <w:ind w:firstLine="560" w:firstLineChars="200"/>
        <w:rPr>
          <w:rFonts w:cs="Times New Roman"/>
        </w:rPr>
      </w:pPr>
      <w:r>
        <w:rPr>
          <w:rFonts w:hint="eastAsia" w:cs="Times New Roman"/>
        </w:rPr>
        <w:t>（2）红色文化</w:t>
      </w:r>
    </w:p>
    <w:p>
      <w:pPr>
        <w:ind w:firstLine="560"/>
        <w:rPr>
          <w:rFonts w:cs="Times New Roman"/>
        </w:rPr>
      </w:pPr>
      <w:r>
        <w:rPr>
          <w:rFonts w:hint="eastAsia" w:cs="Times New Roman"/>
        </w:rPr>
        <w:t>仙阳坪是一块具有革命历史传统的红色土地，坪中刘家峪、杜家岗等地是革命活动区域。刘家峪在仙阳湖南岸，左右山丘对列，中间溪水北流，南靠景家山，北邻杜家院子，是革命烈士曾庆</w:t>
      </w:r>
      <w:r>
        <w:rPr>
          <w:rFonts w:hint="eastAsia" w:cs="Times New Roman"/>
          <w:szCs w:val="28"/>
        </w:rPr>
        <w:t>轩</w:t>
      </w:r>
      <w:r>
        <w:rPr>
          <w:rFonts w:hint="eastAsia" w:cs="Times New Roman"/>
        </w:rPr>
        <w:t>的家乡。大革命时期，曾庆</w:t>
      </w:r>
      <w:r>
        <w:rPr>
          <w:rFonts w:hint="eastAsia" w:cs="Times New Roman"/>
          <w:szCs w:val="28"/>
        </w:rPr>
        <w:t>轩</w:t>
      </w:r>
      <w:r>
        <w:rPr>
          <w:rFonts w:hint="eastAsia" w:cs="Times New Roman"/>
        </w:rPr>
        <w:t>于1926年在刘家峪、杜家岗等地组织成立了中共党支部和农民协会。“马日事变”后，曾庆</w:t>
      </w:r>
      <w:r>
        <w:rPr>
          <w:rFonts w:hint="eastAsia" w:cs="Times New Roman"/>
          <w:szCs w:val="28"/>
        </w:rPr>
        <w:t>轩</w:t>
      </w:r>
      <w:r>
        <w:rPr>
          <w:rFonts w:hint="eastAsia" w:cs="Times New Roman"/>
        </w:rPr>
        <w:t>曾以附近横岩寺的“横岩”二字冠头，写了一副宣传对联：“横持月斧一把，威灵赫赫，杀尽天下土豪劣绅；岩下活佛几尊，慈心荡荡，普救世界贫农赤工。”表达继续坚持武装斗争、解放贫苦工农大众的坚定革命信念。1928年9月，贺龙离开渫阳时，委任时任中共石门县委书记的曾庆</w:t>
      </w:r>
      <w:r>
        <w:rPr>
          <w:rFonts w:hint="eastAsia" w:cs="Times New Roman"/>
          <w:szCs w:val="28"/>
        </w:rPr>
        <w:t>轩</w:t>
      </w:r>
      <w:r>
        <w:rPr>
          <w:rFonts w:hint="eastAsia" w:cs="Times New Roman"/>
        </w:rPr>
        <w:t>为湘鄂边区游击司令，令他继续领导游击战争。为了纪念曾庆</w:t>
      </w:r>
      <w:r>
        <w:rPr>
          <w:rFonts w:hint="eastAsia" w:cs="Times New Roman"/>
          <w:szCs w:val="28"/>
        </w:rPr>
        <w:t>轩</w:t>
      </w:r>
      <w:r>
        <w:rPr>
          <w:rFonts w:hint="eastAsia" w:cs="Times New Roman"/>
        </w:rPr>
        <w:t>烈士，刘家峪村建有曾庆</w:t>
      </w:r>
      <w:r>
        <w:rPr>
          <w:rFonts w:hint="eastAsia" w:cs="Times New Roman"/>
          <w:szCs w:val="28"/>
        </w:rPr>
        <w:t>轩</w:t>
      </w:r>
      <w:r>
        <w:rPr>
          <w:rFonts w:hint="eastAsia" w:cs="Times New Roman"/>
        </w:rPr>
        <w:t>烈士墓。1928年9月，贺龙率中国工农革命军第四军到这里进行革命活动，军参谋长黄鳌为掩护贺龙撤退，与发动突袭的敌人浴血奋战，在这里壮烈牺牲。1930年11月，贾国湘、曾辅臣等在杜家岗建起了渫阳区苏维埃政府。1935年，任弼时、贺龙、肖克、王震等率领红二、六军团在这里驻扎，进行整训扩红、筹集军需、策源战略转移，仅杜家岗就有一百多人参加红军。</w:t>
      </w:r>
    </w:p>
    <w:p>
      <w:pPr>
        <w:pStyle w:val="47"/>
        <w:numPr>
          <w:ilvl w:val="255"/>
          <w:numId w:val="0"/>
        </w:numPr>
        <w:rPr>
          <w:rFonts w:cs="Times New Roman"/>
        </w:rPr>
      </w:pPr>
      <w:r>
        <w:rPr>
          <w:rFonts w:hint="eastAsia" w:cs="Times New Roman"/>
        </w:rPr>
        <w:drawing>
          <wp:inline distT="0" distB="0" distL="114300" distR="114300">
            <wp:extent cx="5572125" cy="4178935"/>
            <wp:effectExtent l="0" t="0" r="9525" b="12065"/>
            <wp:docPr id="32" name="图片 32" descr="4.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4.webp"/>
                    <pic:cNvPicPr>
                      <a:picLocks noChangeAspect="1"/>
                    </pic:cNvPicPr>
                  </pic:nvPicPr>
                  <pic:blipFill>
                    <a:blip r:embed="rId26"/>
                    <a:stretch>
                      <a:fillRect/>
                    </a:stretch>
                  </pic:blipFill>
                  <pic:spPr>
                    <a:xfrm>
                      <a:off x="0" y="0"/>
                      <a:ext cx="5572125" cy="4178935"/>
                    </a:xfrm>
                    <a:prstGeom prst="rect">
                      <a:avLst/>
                    </a:prstGeom>
                  </pic:spPr>
                </pic:pic>
              </a:graphicData>
            </a:graphic>
          </wp:inline>
        </w:drawing>
      </w:r>
    </w:p>
    <w:p>
      <w:pPr>
        <w:pStyle w:val="47"/>
        <w:numPr>
          <w:ilvl w:val="255"/>
          <w:numId w:val="0"/>
        </w:numPr>
        <w:jc w:val="center"/>
        <w:rPr>
          <w:rFonts w:cs="Times New Roman"/>
        </w:rPr>
      </w:pPr>
      <w:r>
        <w:rPr>
          <w:rFonts w:hint="eastAsia" w:ascii="黑体" w:hAnsi="黑体" w:eastAsia="黑体" w:cs="黑体"/>
          <w:sz w:val="24"/>
        </w:rPr>
        <w:t>图</w:t>
      </w:r>
      <w:r>
        <w:rPr>
          <w:rFonts w:hint="eastAsia" w:eastAsia="黑体" w:cs="Times New Roman"/>
          <w:sz w:val="24"/>
        </w:rPr>
        <w:t xml:space="preserve">3-8 </w:t>
      </w:r>
      <w:r>
        <w:rPr>
          <w:rFonts w:hint="eastAsia" w:ascii="黑体" w:hAnsi="黑体" w:eastAsia="黑体" w:cs="黑体"/>
          <w:sz w:val="24"/>
        </w:rPr>
        <w:t>曾庆轩墓</w:t>
      </w:r>
    </w:p>
    <w:p>
      <w:pPr>
        <w:pStyle w:val="47"/>
        <w:numPr>
          <w:ilvl w:val="255"/>
          <w:numId w:val="0"/>
        </w:numPr>
        <w:ind w:firstLine="560" w:firstLineChars="200"/>
        <w:rPr>
          <w:rFonts w:cs="Times New Roman"/>
        </w:rPr>
      </w:pPr>
      <w:r>
        <w:rPr>
          <w:rFonts w:hint="eastAsia" w:cs="Times New Roman"/>
        </w:rPr>
        <w:t>（3）古镇文化</w:t>
      </w:r>
    </w:p>
    <w:p>
      <w:pPr>
        <w:pStyle w:val="47"/>
        <w:ind w:firstLine="560"/>
        <w:rPr>
          <w:rFonts w:cs="Times New Roman"/>
        </w:rPr>
      </w:pPr>
      <w:r>
        <w:rPr>
          <w:rFonts w:hint="eastAsia" w:cs="Times New Roman"/>
        </w:rPr>
        <w:t>石门地域历史悠久，境内有商朝到民国时期的聚居遗址，但随着时光的流逝，因皂市水库的建设，许多的遗址和古建筑被沉入水底。</w:t>
      </w:r>
    </w:p>
    <w:p>
      <w:pPr>
        <w:pStyle w:val="47"/>
        <w:ind w:firstLine="560"/>
        <w:rPr>
          <w:rFonts w:ascii="仿宋" w:hAnsi="仿宋" w:cs="仿宋"/>
        </w:rPr>
      </w:pPr>
      <w:r>
        <w:rPr>
          <w:rFonts w:hint="eastAsia" w:cs="Times New Roman"/>
        </w:rPr>
        <w:t>磨市古镇：这片水泽碧波下面，曾经是繁华的磨市古镇。一条青石板铺成的老街，两旁，被岁月染黑的木板屋，一栋紧挨着一栋，屋与屋之间的封火墙上，青瓦白壁的封火垛子，高高踞立在上，对着那条青石板老街—一家一家的大门，全是双合的木板门，门上扣着铁漆的门环，贴着门神，门的上方各开有一扇木窗，那窗子或雕龙刻凤，或镶花嵌鹤，一家挨着一家的商号：吴荣记、致中和、中和裕、忠和利、张荣丰、罗庆昌，或做桐油木材生意，或做茶叶药材经营，开商号做生意大多江西过来的老表，石门县清同治县志载，</w:t>
      </w:r>
      <w:r>
        <w:rPr>
          <w:rFonts w:hint="eastAsia" w:ascii="仿宋" w:hAnsi="仿宋" w:cs="仿宋"/>
        </w:rPr>
        <w:t>“清</w:t>
      </w:r>
      <w:r>
        <w:rPr>
          <w:rFonts w:hint="eastAsia" w:cs="Times New Roman"/>
        </w:rPr>
        <w:t>同治七年（1868年），县境有集镇28处，其中珠宝街、磨岗隘以桐木梓油木材享誉石门，从商人员多是江西老表，</w:t>
      </w:r>
      <w:r>
        <w:rPr>
          <w:rFonts w:hint="eastAsia" w:ascii="仿宋" w:hAnsi="仿宋" w:cs="仿宋"/>
        </w:rPr>
        <w:t>故有‘无江西不口岸’之说。”</w:t>
      </w:r>
    </w:p>
    <w:p>
      <w:pPr>
        <w:pStyle w:val="47"/>
        <w:ind w:firstLine="0" w:firstLineChars="0"/>
        <w:rPr>
          <w:rFonts w:ascii="仿宋" w:hAnsi="仿宋" w:cs="仿宋"/>
        </w:rPr>
      </w:pPr>
      <w:r>
        <w:rPr>
          <w:rFonts w:ascii="仿宋" w:hAnsi="仿宋" w:cs="仿宋"/>
        </w:rPr>
        <w:drawing>
          <wp:inline distT="0" distB="0" distL="0" distR="0">
            <wp:extent cx="5580380" cy="3262630"/>
            <wp:effectExtent l="0" t="0" r="1270" b="0"/>
            <wp:docPr id="25" name="图片 25" descr="C:\Users\Lenovo\Documents\WeChat Files\wxid_2u51v08y2kf621\FileStorage\Temp\1666525837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Lenovo\Documents\WeChat Files\wxid_2u51v08y2kf621\FileStorage\Temp\166652583727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580380" cy="3263255"/>
                    </a:xfrm>
                    <a:prstGeom prst="rect">
                      <a:avLst/>
                    </a:prstGeom>
                    <a:noFill/>
                    <a:ln>
                      <a:noFill/>
                    </a:ln>
                  </pic:spPr>
                </pic:pic>
              </a:graphicData>
            </a:graphic>
          </wp:inline>
        </w:drawing>
      </w:r>
    </w:p>
    <w:p>
      <w:pPr>
        <w:pStyle w:val="47"/>
        <w:ind w:firstLine="0" w:firstLineChars="0"/>
        <w:jc w:val="center"/>
        <w:rPr>
          <w:rFonts w:cs="Times New Roman"/>
        </w:rPr>
      </w:pPr>
      <w:r>
        <w:rPr>
          <w:rFonts w:hint="eastAsia" w:ascii="黑体" w:hAnsi="黑体" w:eastAsia="黑体" w:cs="黑体"/>
          <w:sz w:val="24"/>
        </w:rPr>
        <w:t>图</w:t>
      </w:r>
      <w:r>
        <w:rPr>
          <w:rFonts w:hint="eastAsia" w:eastAsia="黑体" w:cs="Times New Roman"/>
          <w:sz w:val="24"/>
        </w:rPr>
        <w:t xml:space="preserve">3-9 </w:t>
      </w:r>
      <w:r>
        <w:rPr>
          <w:rFonts w:hint="eastAsia" w:ascii="黑体" w:hAnsi="黑体" w:eastAsia="黑体" w:cs="黑体"/>
          <w:sz w:val="24"/>
        </w:rPr>
        <w:t>磨市古镇</w:t>
      </w:r>
    </w:p>
    <w:p>
      <w:pPr>
        <w:pStyle w:val="47"/>
        <w:ind w:firstLine="560"/>
        <w:rPr>
          <w:rFonts w:hint="eastAsia" w:cs="Times New Roman"/>
        </w:rPr>
      </w:pPr>
      <w:r>
        <w:rPr>
          <w:rFonts w:hint="eastAsia" w:cs="Times New Roman"/>
        </w:rPr>
        <w:t>皂市老街：相传很早很早以前，皂市的街道在渫水的左岸石家坪，右岸皂市这里是个很大的沙洲，沙洲上长满了皂角树。随着河水的冲击，左岸的街道逐渐离水而去，右岸的河洲越变越窄，河水走皂市这边来了。于是人们纷纷在河洲上平地搭棚，建屋，两边街道初具雏形，随着时间的推移，街道上的发展越来越快。</w:t>
      </w:r>
    </w:p>
    <w:p>
      <w:pPr>
        <w:pStyle w:val="47"/>
        <w:ind w:left="0" w:leftChars="0" w:firstLine="0" w:firstLineChars="0"/>
        <w:rPr>
          <w:rFonts w:hint="eastAsia" w:cs="Times New Roman"/>
        </w:rPr>
      </w:pPr>
    </w:p>
    <w:p>
      <w:pPr>
        <w:pStyle w:val="47"/>
        <w:ind w:firstLine="0" w:firstLineChars="0"/>
        <w:jc w:val="center"/>
        <w:rPr>
          <w:rFonts w:cs="Times New Roman"/>
        </w:rPr>
      </w:pPr>
      <w:r>
        <w:rPr>
          <w:rFonts w:cs="Times New Roman"/>
        </w:rPr>
        <w:drawing>
          <wp:anchor distT="0" distB="0" distL="114300" distR="114300" simplePos="0" relativeHeight="251661312" behindDoc="0" locked="0" layoutInCell="1" allowOverlap="1">
            <wp:simplePos x="0" y="0"/>
            <wp:positionH relativeFrom="column">
              <wp:posOffset>3175</wp:posOffset>
            </wp:positionH>
            <wp:positionV relativeFrom="paragraph">
              <wp:posOffset>104140</wp:posOffset>
            </wp:positionV>
            <wp:extent cx="5580380" cy="2780030"/>
            <wp:effectExtent l="0" t="0" r="1270" b="1270"/>
            <wp:wrapTopAndBottom/>
            <wp:docPr id="26" name="图片 26" descr="C:\Users\Lenovo\Documents\WeChat Files\wxid_2u51v08y2kf621\FileStorage\Temp\16665258908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Lenovo\Documents\WeChat Files\wxid_2u51v08y2kf621\FileStorage\Temp\1666525890816.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580380" cy="2780051"/>
                    </a:xfrm>
                    <a:prstGeom prst="rect">
                      <a:avLst/>
                    </a:prstGeom>
                    <a:noFill/>
                    <a:ln>
                      <a:noFill/>
                    </a:ln>
                  </pic:spPr>
                </pic:pic>
              </a:graphicData>
            </a:graphic>
          </wp:anchor>
        </w:drawing>
      </w:r>
      <w:r>
        <w:rPr>
          <w:rFonts w:hint="eastAsia" w:ascii="黑体" w:hAnsi="黑体" w:eastAsia="黑体" w:cs="黑体"/>
          <w:sz w:val="24"/>
        </w:rPr>
        <w:t>图</w:t>
      </w:r>
      <w:r>
        <w:rPr>
          <w:rFonts w:hint="eastAsia" w:eastAsia="黑体" w:cs="Times New Roman"/>
          <w:sz w:val="24"/>
        </w:rPr>
        <w:t xml:space="preserve">3-10 </w:t>
      </w:r>
      <w:r>
        <w:rPr>
          <w:rFonts w:hint="eastAsia" w:ascii="黑体" w:hAnsi="黑体" w:eastAsia="黑体" w:cs="黑体"/>
          <w:sz w:val="24"/>
        </w:rPr>
        <w:t>皂市老街</w:t>
      </w:r>
    </w:p>
    <w:p>
      <w:pPr>
        <w:pStyle w:val="47"/>
        <w:ind w:firstLine="560"/>
        <w:rPr>
          <w:rFonts w:cs="Times New Roman"/>
        </w:rPr>
      </w:pPr>
      <w:r>
        <w:rPr>
          <w:rFonts w:hint="eastAsia" w:cs="Times New Roman"/>
        </w:rPr>
        <w:t>此外，皂市是一片具有悠久历史文明的土地。在这里，考古学家发现了距今6000多年前的新石器时代遗迹，1959年，湖南省博物馆文物调查发拙发现，这里还是遗存丰富的商代遗址，出土了大量历史文物，皂市商代遗址被郭沫若编入《中国史稿》，在中国考古史上，具有重要地位和意义。</w:t>
      </w:r>
    </w:p>
    <w:p>
      <w:pPr>
        <w:pStyle w:val="47"/>
        <w:keepNext w:val="0"/>
        <w:keepLines w:val="0"/>
        <w:pageBreakBefore w:val="0"/>
        <w:numPr>
          <w:ilvl w:val="0"/>
          <w:numId w:val="0"/>
        </w:numPr>
        <w:kinsoku/>
        <w:wordWrap/>
        <w:overflowPunct/>
        <w:topLinePunct w:val="0"/>
        <w:autoSpaceDE/>
        <w:autoSpaceDN/>
        <w:bidi w:val="0"/>
        <w:adjustRightInd/>
        <w:snapToGrid/>
        <w:ind w:left="0" w:leftChars="0" w:firstLine="560" w:firstLineChars="200"/>
        <w:textAlignment w:val="auto"/>
      </w:pPr>
      <w:r>
        <w:rPr>
          <w:rFonts w:hint="eastAsia"/>
          <w:lang w:eastAsia="zh-CN"/>
        </w:rPr>
        <w:t>（</w:t>
      </w:r>
      <w:r>
        <w:rPr>
          <w:rFonts w:hint="eastAsia"/>
          <w:lang w:val="en-US" w:eastAsia="zh-CN"/>
        </w:rPr>
        <w:t>4</w:t>
      </w:r>
      <w:r>
        <w:rPr>
          <w:rFonts w:hint="eastAsia"/>
          <w:lang w:eastAsia="zh-CN"/>
        </w:rPr>
        <w:t>）</w:t>
      </w:r>
      <w:r>
        <w:rPr>
          <w:rFonts w:hint="eastAsia"/>
        </w:rPr>
        <w:t>茶文化</w:t>
      </w:r>
    </w:p>
    <w:p>
      <w:pPr>
        <w:pStyle w:val="30"/>
        <w:keepNext w:val="0"/>
        <w:keepLines w:val="0"/>
        <w:pageBreakBefore w:val="0"/>
        <w:widowControl/>
        <w:shd w:val="clear" w:color="auto" w:fill="FFFFFF"/>
        <w:kinsoku/>
        <w:wordWrap/>
        <w:overflowPunct/>
        <w:topLinePunct w:val="0"/>
        <w:autoSpaceDE/>
        <w:autoSpaceDN/>
        <w:bidi w:val="0"/>
        <w:adjustRightInd/>
        <w:snapToGrid/>
        <w:spacing w:beforeAutospacing="0" w:afterAutospacing="0"/>
        <w:ind w:left="0" w:firstLine="560" w:firstLineChars="200"/>
        <w:jc w:val="both"/>
        <w:textAlignment w:val="auto"/>
        <w:rPr>
          <w:kern w:val="2"/>
          <w:sz w:val="28"/>
        </w:rPr>
      </w:pPr>
      <w:r>
        <w:rPr>
          <w:rFonts w:hint="eastAsia"/>
          <w:kern w:val="2"/>
          <w:sz w:val="28"/>
        </w:rPr>
        <w:t>石门是北纬30°全球两个优质茶叶生产“绿色三角”区域之一，是第一批《全国农产品优势区域布局规划（2003—2007年）》和第二批《全国农产品优势区域布局规划（2008—2015年）》确定的茶叶优势区域重点县，具有发展</w:t>
      </w:r>
      <w:r>
        <w:rPr>
          <w:rFonts w:hint="eastAsia"/>
        </w:rPr>
        <w:fldChar w:fldCharType="begin"/>
      </w:r>
      <w:r>
        <w:instrText xml:space="preserve"> HYPERLINK "https://baike.baidu.com/item/%E9%AB%98%E5%B1%B1%E4%BA%91%E9%9B%BE%E8%8C%B6/5969695?fromModule=lemma_inlink" \t "https://baike.baidu.com/item/%E7%9F%B3%E9%97%A8%E8%8C%B6/_blank" </w:instrText>
      </w:r>
      <w:r>
        <w:rPr>
          <w:rFonts w:hint="eastAsia"/>
        </w:rPr>
        <w:fldChar w:fldCharType="separate"/>
      </w:r>
      <w:r>
        <w:rPr>
          <w:rFonts w:hint="eastAsia"/>
          <w:kern w:val="2"/>
          <w:sz w:val="28"/>
        </w:rPr>
        <w:t>高山云雾茶</w:t>
      </w:r>
      <w:r>
        <w:rPr>
          <w:rFonts w:hint="eastAsia"/>
          <w:kern w:val="2"/>
          <w:sz w:val="28"/>
        </w:rPr>
        <w:fldChar w:fldCharType="end"/>
      </w:r>
      <w:r>
        <w:rPr>
          <w:rFonts w:hint="eastAsia"/>
          <w:kern w:val="2"/>
          <w:sz w:val="28"/>
        </w:rPr>
        <w:t>得天独厚的环境条件。</w:t>
      </w:r>
    </w:p>
    <w:p>
      <w:pPr>
        <w:widowControl/>
        <w:shd w:val="clear" w:color="auto" w:fill="FFFFFF"/>
        <w:ind w:firstLine="560"/>
        <w:rPr>
          <w:rFonts w:cs="Times New Roman"/>
        </w:rPr>
      </w:pPr>
      <w:r>
        <w:rPr>
          <w:rFonts w:hint="eastAsia" w:cs="Times New Roman"/>
        </w:rPr>
        <w:t>石门茶叶不仅生产历史悠久，规模宏大，而且孕育了影响深远的</w:t>
      </w:r>
      <w:r>
        <w:fldChar w:fldCharType="begin"/>
      </w:r>
      <w:r>
        <w:instrText xml:space="preserve"> HYPERLINK "https://baike.baidu.com/item/%E8%8C%B6%E7%A6%85/6952221?fromModule=lemma_inlink" \t "https://baike.baidu.com/item/%E7%9F%B3%E9%97%A8%E8%8C%B6/_blank" </w:instrText>
      </w:r>
      <w:r>
        <w:fldChar w:fldCharType="separate"/>
      </w:r>
      <w:r>
        <w:rPr>
          <w:rFonts w:hint="eastAsia" w:cs="Times New Roman"/>
        </w:rPr>
        <w:t>茶禅</w:t>
      </w:r>
      <w:r>
        <w:rPr>
          <w:rFonts w:hint="eastAsia" w:cs="Times New Roman"/>
        </w:rPr>
        <w:fldChar w:fldCharType="end"/>
      </w:r>
      <w:r>
        <w:rPr>
          <w:rFonts w:hint="eastAsia" w:cs="Times New Roman"/>
        </w:rPr>
        <w:t>文化。</w:t>
      </w:r>
      <w:r>
        <w:fldChar w:fldCharType="begin"/>
      </w:r>
      <w:r>
        <w:instrText xml:space="preserve"> HYPERLINK "https://baike.baidu.com/item/%E5%A4%B9%E5%B1%B1/1740061?fromModule=lemma_inlink" \t "https://baike.baidu.com/item/%E7%9F%B3%E9%97%A8%E8%8C%B6/_blank" </w:instrText>
      </w:r>
      <w:r>
        <w:fldChar w:fldCharType="separate"/>
      </w:r>
      <w:r>
        <w:rPr>
          <w:rFonts w:hint="eastAsia" w:cs="Times New Roman"/>
        </w:rPr>
        <w:t>夹山</w:t>
      </w:r>
      <w:r>
        <w:rPr>
          <w:rFonts w:hint="eastAsia" w:cs="Times New Roman"/>
        </w:rPr>
        <w:fldChar w:fldCharType="end"/>
      </w:r>
      <w:r>
        <w:rPr>
          <w:rFonts w:hint="eastAsia" w:cs="Times New Roman"/>
        </w:rPr>
        <w:t>古寺，远追唐宋。</w:t>
      </w:r>
      <w:r>
        <w:fldChar w:fldCharType="begin"/>
      </w:r>
      <w:r>
        <w:instrText xml:space="preserve"> HYPERLINK "https://baike.baidu.com/item/%E5%94%90%E6%87%BF%E5%AE%97/617411?fromModule=lemma_inlink" \t "https://baike.baidu.com/item/%E7%9F%B3%E9%97%A8%E8%8C%B6/_blank" </w:instrText>
      </w:r>
      <w:r>
        <w:fldChar w:fldCharType="separate"/>
      </w:r>
      <w:r>
        <w:rPr>
          <w:rFonts w:hint="eastAsia" w:cs="Times New Roman"/>
        </w:rPr>
        <w:t>唐懿宗</w:t>
      </w:r>
      <w:r>
        <w:rPr>
          <w:rFonts w:hint="eastAsia" w:cs="Times New Roman"/>
        </w:rPr>
        <w:fldChar w:fldCharType="end"/>
      </w:r>
      <w:r>
        <w:rPr>
          <w:rFonts w:hint="eastAsia" w:cs="Times New Roman"/>
        </w:rPr>
        <w:t>、</w:t>
      </w:r>
      <w:r>
        <w:fldChar w:fldCharType="begin"/>
      </w:r>
      <w:r>
        <w:instrText xml:space="preserve"> HYPERLINK "https://baike.baidu.com/item/%E5%AE%8B%E7%A5%9E%E5%AE%97/1478596?fromModule=lemma_inlink" \t "https://baike.baidu.com/item/%E7%9F%B3%E9%97%A8%E8%8C%B6/_blank" </w:instrText>
      </w:r>
      <w:r>
        <w:fldChar w:fldCharType="separate"/>
      </w:r>
      <w:r>
        <w:rPr>
          <w:rFonts w:hint="eastAsia" w:cs="Times New Roman"/>
        </w:rPr>
        <w:t>宋神宗</w:t>
      </w:r>
      <w:r>
        <w:rPr>
          <w:rFonts w:hint="eastAsia" w:cs="Times New Roman"/>
        </w:rPr>
        <w:fldChar w:fldCharType="end"/>
      </w:r>
      <w:r>
        <w:rPr>
          <w:rFonts w:hint="eastAsia" w:cs="Times New Roman"/>
        </w:rPr>
        <w:t>、元世祖先后下诏敕建，故有“三朝御修”之说。夹山的开山祖师是唐代的高僧善会，唐咸通十一年（870年），</w:t>
      </w:r>
      <w:r>
        <w:rPr>
          <w:rFonts w:hint="eastAsia"/>
        </w:rPr>
        <w:fldChar w:fldCharType="begin"/>
      </w:r>
      <w:r>
        <w:instrText xml:space="preserve"> HYPERLINK "https://baike.baidu.com/item/%E5%96%84%E4%BC%9A/9683678?fromModule=lemma_inlink" \t "https://baike.baidu.com/item/%E7%9F%B3%E9%97%A8%E8%8C%B6/_blank" </w:instrText>
      </w:r>
      <w:r>
        <w:rPr>
          <w:rFonts w:hint="eastAsia"/>
        </w:rPr>
        <w:fldChar w:fldCharType="separate"/>
      </w:r>
      <w:r>
        <w:rPr>
          <w:rFonts w:hint="eastAsia" w:cs="Times New Roman"/>
        </w:rPr>
        <w:t>善会</w:t>
      </w:r>
      <w:r>
        <w:rPr>
          <w:rFonts w:hint="eastAsia" w:cs="Times New Roman"/>
        </w:rPr>
        <w:fldChar w:fldCharType="end"/>
      </w:r>
      <w:r>
        <w:rPr>
          <w:rFonts w:hint="eastAsia" w:cs="Times New Roman"/>
        </w:rPr>
        <w:t>和尚来到石门夹山，创立</w:t>
      </w:r>
      <w:r>
        <w:fldChar w:fldCharType="begin"/>
      </w:r>
      <w:r>
        <w:instrText xml:space="preserve"> HYPERLINK "https://baike.baidu.com/item/%E5%A4%B9%E5%B1%B1%E7%81%B5%E6%B3%89%E7%A6%85%E9%99%A2/9845565?fromModule=lemma_inlink" \t "https://baike.baidu.com/item/%E7%9F%B3%E9%97%A8%E8%8C%B6/_blank" </w:instrText>
      </w:r>
      <w:r>
        <w:fldChar w:fldCharType="separate"/>
      </w:r>
      <w:r>
        <w:rPr>
          <w:rFonts w:hint="eastAsia" w:cs="Times New Roman"/>
        </w:rPr>
        <w:t>夹山灵泉禅院</w:t>
      </w:r>
      <w:r>
        <w:rPr>
          <w:rFonts w:hint="eastAsia" w:cs="Times New Roman"/>
        </w:rPr>
        <w:fldChar w:fldCharType="end"/>
      </w:r>
      <w:r>
        <w:rPr>
          <w:rFonts w:hint="eastAsia" w:cs="Times New Roman"/>
        </w:rPr>
        <w:t>，居之十余年，首唱茶禅境味之说。</w:t>
      </w:r>
    </w:p>
    <w:p>
      <w:pPr>
        <w:pStyle w:val="30"/>
        <w:widowControl/>
        <w:shd w:val="clear" w:color="auto" w:fill="FFFFFF"/>
        <w:spacing w:beforeAutospacing="0" w:afterAutospacing="0"/>
        <w:ind w:firstLine="560"/>
        <w:jc w:val="both"/>
        <w:rPr>
          <w:kern w:val="2"/>
          <w:sz w:val="28"/>
        </w:rPr>
      </w:pPr>
      <w:r>
        <w:rPr>
          <w:rFonts w:hint="eastAsia"/>
          <w:kern w:val="2"/>
          <w:sz w:val="28"/>
        </w:rPr>
        <w:t>在石门有一条形成于明清时期、连接湖南与湖北、长达400公里的古茶道。这条古茶道从3个方向与长江相连，然后通向万里茶道三大港口之一的汉口，留下许多传奇故事。清末广东商人卢次伦曾在这里开办誉满湘鄂的泰和合茶号，开创宜红茶时代。贺龙元帅还曾在古茶道边，刻下“一弓三箭”的励志图。</w:t>
      </w:r>
    </w:p>
    <w:p>
      <w:pPr>
        <w:pStyle w:val="30"/>
        <w:widowControl/>
        <w:shd w:val="clear" w:color="auto" w:fill="FFFFFF"/>
        <w:spacing w:beforeAutospacing="0" w:afterAutospacing="0"/>
        <w:ind w:firstLine="0" w:firstLineChars="0"/>
        <w:jc w:val="both"/>
        <w:rPr>
          <w:kern w:val="2"/>
          <w:sz w:val="28"/>
        </w:rPr>
      </w:pPr>
      <w:r>
        <w:rPr>
          <w:rFonts w:hint="eastAsia"/>
          <w:kern w:val="2"/>
          <w:sz w:val="28"/>
        </w:rPr>
        <w:drawing>
          <wp:inline distT="0" distB="0" distL="114300" distR="114300">
            <wp:extent cx="5575300" cy="3717290"/>
            <wp:effectExtent l="0" t="0" r="6350" b="16510"/>
            <wp:docPr id="7" name="图片 7" descr="e0ba173b4d48440faa83afb666c99f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e0ba173b4d48440faa83afb666c99f65"/>
                    <pic:cNvPicPr>
                      <a:picLocks noChangeAspect="1"/>
                    </pic:cNvPicPr>
                  </pic:nvPicPr>
                  <pic:blipFill>
                    <a:blip r:embed="rId29"/>
                    <a:stretch>
                      <a:fillRect/>
                    </a:stretch>
                  </pic:blipFill>
                  <pic:spPr>
                    <a:xfrm>
                      <a:off x="0" y="0"/>
                      <a:ext cx="5575300" cy="3717290"/>
                    </a:xfrm>
                    <a:prstGeom prst="rect">
                      <a:avLst/>
                    </a:prstGeom>
                  </pic:spPr>
                </pic:pic>
              </a:graphicData>
            </a:graphic>
          </wp:inline>
        </w:drawing>
      </w:r>
    </w:p>
    <w:p>
      <w:pPr>
        <w:pStyle w:val="30"/>
        <w:widowControl/>
        <w:shd w:val="clear" w:color="auto" w:fill="FFFFFF"/>
        <w:spacing w:beforeAutospacing="0" w:afterAutospacing="0"/>
        <w:ind w:firstLine="0" w:firstLineChars="0"/>
        <w:jc w:val="center"/>
        <w:rPr>
          <w:kern w:val="2"/>
          <w:sz w:val="28"/>
        </w:rPr>
      </w:pPr>
      <w:r>
        <w:rPr>
          <w:rFonts w:hint="eastAsia" w:eastAsia="黑体"/>
        </w:rPr>
        <w:t xml:space="preserve">图3-11 </w:t>
      </w:r>
      <w:r>
        <w:rPr>
          <w:rFonts w:hint="eastAsia" w:ascii="黑体" w:hAnsi="黑体" w:eastAsia="黑体" w:cs="黑体"/>
        </w:rPr>
        <w:t>有机茶基地</w:t>
      </w:r>
    </w:p>
    <w:p>
      <w:pPr>
        <w:pStyle w:val="47"/>
        <w:keepNext w:val="0"/>
        <w:keepLines w:val="0"/>
        <w:pageBreakBefore w:val="0"/>
        <w:widowControl w:val="0"/>
        <w:numPr>
          <w:ilvl w:val="0"/>
          <w:numId w:val="0"/>
        </w:numPr>
        <w:kinsoku/>
        <w:wordWrap/>
        <w:overflowPunct/>
        <w:topLinePunct w:val="0"/>
        <w:autoSpaceDE/>
        <w:autoSpaceDN/>
        <w:bidi w:val="0"/>
        <w:adjustRightInd/>
        <w:snapToGrid/>
        <w:ind w:left="0" w:leftChars="0" w:firstLine="560" w:firstLineChars="200"/>
        <w:textAlignment w:val="auto"/>
      </w:pPr>
      <w:r>
        <w:rPr>
          <w:rFonts w:hint="eastAsia"/>
          <w:lang w:eastAsia="zh-CN"/>
        </w:rPr>
        <w:t>（</w:t>
      </w:r>
      <w:r>
        <w:rPr>
          <w:rFonts w:hint="eastAsia"/>
          <w:lang w:val="en-US" w:eastAsia="zh-CN"/>
        </w:rPr>
        <w:t>5</w:t>
      </w:r>
      <w:r>
        <w:rPr>
          <w:rFonts w:hint="eastAsia"/>
          <w:lang w:eastAsia="zh-CN"/>
        </w:rPr>
        <w:t>）</w:t>
      </w:r>
      <w:r>
        <w:rPr>
          <w:rFonts w:hint="eastAsia"/>
        </w:rPr>
        <w:t>鱼文化</w:t>
      </w:r>
    </w:p>
    <w:p>
      <w:pPr>
        <w:pStyle w:val="47"/>
        <w:keepNext w:val="0"/>
        <w:keepLines w:val="0"/>
        <w:pageBreakBefore w:val="0"/>
        <w:widowControl w:val="0"/>
        <w:numPr>
          <w:ilvl w:val="255"/>
          <w:numId w:val="0"/>
        </w:numPr>
        <w:kinsoku/>
        <w:wordWrap/>
        <w:overflowPunct/>
        <w:topLinePunct w:val="0"/>
        <w:autoSpaceDE/>
        <w:autoSpaceDN/>
        <w:bidi w:val="0"/>
        <w:adjustRightInd/>
        <w:snapToGrid/>
        <w:ind w:left="0" w:firstLine="560" w:firstLineChars="200"/>
        <w:textAlignment w:val="auto"/>
        <w:rPr>
          <w:rFonts w:cs="Times New Roman"/>
        </w:rPr>
      </w:pPr>
      <w:r>
        <w:rPr>
          <w:rFonts w:hint="eastAsia" w:cs="Times New Roman"/>
        </w:rPr>
        <w:t>一千六百多年前，陶渊明一句“武陵人捕渔为业”，告诉后世的人们，这里原本就是猎鱼的天堂；一千二百多年前，被贬朗州的刘禹锡，在《楚望赋》中记录了当时常德的风土人情与渔猎方式，居住在这里的百姓靠渔猎交税，以舟船为市，屋舍连甍，竹覆轩车，畬田火种，踏月而歌。石门县水资源丰富，鱼类众多，人们自古就以鱼类为食，并开始把鱼类作为猎取的对象，捕鱼工具最先是鱼鳔、弓箭，后来是网具。湿地公园成立后湖区全面禁渔，石门人就以垂钓为乐。水清鱼读月，山静鸟谈天。有了一湖清水，就有一湖鲜鱼，也就有了满湖的诗情。</w:t>
      </w:r>
    </w:p>
    <w:p>
      <w:pPr>
        <w:pStyle w:val="47"/>
        <w:numPr>
          <w:ilvl w:val="255"/>
          <w:numId w:val="0"/>
        </w:numPr>
        <w:rPr>
          <w:rFonts w:cs="Times New Roman"/>
        </w:rPr>
      </w:pPr>
      <w:r>
        <w:rPr>
          <w:rFonts w:hint="eastAsia" w:cs="Times New Roman"/>
        </w:rPr>
        <w:drawing>
          <wp:inline distT="0" distB="0" distL="114300" distR="114300">
            <wp:extent cx="5553075" cy="3124200"/>
            <wp:effectExtent l="0" t="0" r="9525" b="0"/>
            <wp:docPr id="9" name="图片 9" descr="1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2.webp"/>
                    <pic:cNvPicPr>
                      <a:picLocks noChangeAspect="1"/>
                    </pic:cNvPicPr>
                  </pic:nvPicPr>
                  <pic:blipFill>
                    <a:blip r:embed="rId30"/>
                    <a:stretch>
                      <a:fillRect/>
                    </a:stretch>
                  </pic:blipFill>
                  <pic:spPr>
                    <a:xfrm>
                      <a:off x="0" y="0"/>
                      <a:ext cx="5553075" cy="3124200"/>
                    </a:xfrm>
                    <a:prstGeom prst="rect">
                      <a:avLst/>
                    </a:prstGeom>
                  </pic:spPr>
                </pic:pic>
              </a:graphicData>
            </a:graphic>
          </wp:inline>
        </w:drawing>
      </w:r>
    </w:p>
    <w:p>
      <w:pPr>
        <w:pStyle w:val="47"/>
        <w:numPr>
          <w:ilvl w:val="255"/>
          <w:numId w:val="0"/>
        </w:numPr>
        <w:jc w:val="center"/>
        <w:rPr>
          <w:rFonts w:cs="Times New Roman"/>
        </w:rPr>
      </w:pPr>
      <w:r>
        <w:rPr>
          <w:rFonts w:hint="eastAsia" w:eastAsia="黑体" w:cs="Times New Roman"/>
          <w:sz w:val="24"/>
        </w:rPr>
        <w:t xml:space="preserve">图3-12 </w:t>
      </w:r>
      <w:r>
        <w:rPr>
          <w:rFonts w:hint="eastAsia" w:ascii="黑体" w:hAnsi="黑体" w:eastAsia="黑体" w:cs="黑体"/>
          <w:sz w:val="24"/>
        </w:rPr>
        <w:t>休闲垂钓</w:t>
      </w:r>
    </w:p>
    <w:p>
      <w:pPr>
        <w:pStyle w:val="5"/>
        <w:numPr>
          <w:ilvl w:val="1"/>
          <w:numId w:val="20"/>
        </w:numPr>
        <w:spacing w:before="197"/>
      </w:pPr>
      <w:bookmarkStart w:id="158" w:name="_Toc113925472"/>
      <w:bookmarkStart w:id="159" w:name="_Toc5178"/>
      <w:bookmarkStart w:id="160" w:name="_Toc113925724"/>
      <w:bookmarkStart w:id="161" w:name="_Toc114084639"/>
      <w:bookmarkStart w:id="162" w:name="_Toc117114366"/>
      <w:bookmarkStart w:id="163" w:name="_Toc10703"/>
      <w:r>
        <w:rPr>
          <w:rFonts w:hint="eastAsia"/>
        </w:rPr>
        <w:t>湿地资源总体评价</w:t>
      </w:r>
      <w:bookmarkEnd w:id="158"/>
      <w:bookmarkEnd w:id="159"/>
      <w:bookmarkEnd w:id="160"/>
      <w:bookmarkEnd w:id="161"/>
      <w:bookmarkEnd w:id="162"/>
      <w:bookmarkEnd w:id="163"/>
    </w:p>
    <w:p>
      <w:pPr>
        <w:pStyle w:val="6"/>
      </w:pPr>
      <w:bookmarkStart w:id="164" w:name="_Toc113925473"/>
      <w:bookmarkStart w:id="165" w:name="_Toc113925725"/>
      <w:r>
        <w:rPr>
          <w:rFonts w:hint="eastAsia"/>
        </w:rPr>
        <w:t>评价指标体系</w:t>
      </w:r>
      <w:bookmarkEnd w:id="164"/>
      <w:bookmarkEnd w:id="165"/>
    </w:p>
    <w:p>
      <w:pPr>
        <w:ind w:firstLine="560"/>
        <w:rPr>
          <w:rFonts w:cs="Times New Roman"/>
        </w:rPr>
      </w:pPr>
      <w:r>
        <w:rPr>
          <w:rFonts w:hint="eastAsia" w:cs="Times New Roman"/>
        </w:rPr>
        <w:t>根据《国家湿地公园评估评分标准》（林湿综字〔2018〕2号）第1大项“资源本底条件”所列分项，包括湿地公园生态系统、物种多样性、物种稀有性或独有性、生态区位重要性、科普宣教价值、文化价值等6个方面对仙阳湖国家湿地公园湿地资源做出总体评价，</w:t>
      </w:r>
      <w:r>
        <w:rPr>
          <w:rFonts w:hint="eastAsia" w:cs="Times New Roman"/>
          <w:szCs w:val="28"/>
        </w:rPr>
        <w:t>其</w:t>
      </w:r>
      <w:r>
        <w:rPr>
          <w:rStyle w:val="38"/>
          <w:rFonts w:hint="eastAsia"/>
          <w:sz w:val="28"/>
          <w:szCs w:val="28"/>
          <w:lang w:eastAsia="zh-CN"/>
        </w:rPr>
        <w:t>评分标准</w:t>
      </w:r>
      <w:r>
        <w:rPr>
          <w:rFonts w:hint="eastAsia" w:cs="Times New Roman"/>
          <w:szCs w:val="28"/>
        </w:rPr>
        <w:t>见表</w:t>
      </w:r>
      <w:r>
        <w:rPr>
          <w:rFonts w:hint="eastAsia" w:cs="Times New Roman"/>
        </w:rPr>
        <w:t>3-2。</w:t>
      </w:r>
    </w:p>
    <w:p>
      <w:pPr>
        <w:pStyle w:val="14"/>
        <w:keepNext/>
        <w:pageBreakBefore/>
        <w:spacing w:before="197" w:after="0" w:afterLines="0"/>
        <w:rPr>
          <w:rFonts w:ascii="黑体" w:hAnsi="黑体" w:cs="黑体"/>
          <w:sz w:val="24"/>
          <w:szCs w:val="24"/>
        </w:rPr>
      </w:pPr>
      <w:r>
        <w:rPr>
          <w:rFonts w:hint="eastAsia" w:ascii="黑体" w:hAnsi="黑体" w:cs="黑体"/>
          <w:sz w:val="24"/>
          <w:szCs w:val="24"/>
        </w:rPr>
        <w:t>国家湿地公园评估评分标准（资源本底）</w:t>
      </w:r>
    </w:p>
    <w:p>
      <w:pPr>
        <w:spacing w:line="240" w:lineRule="auto"/>
        <w:ind w:firstLine="0" w:firstLineChars="0"/>
        <w:rPr>
          <w:rFonts w:cs="Times New Roman"/>
          <w:sz w:val="21"/>
          <w:szCs w:val="21"/>
        </w:rPr>
      </w:pPr>
      <w:r>
        <w:rPr>
          <w:rFonts w:hint="eastAsia" w:ascii="黑体" w:hAnsi="黑体" w:eastAsia="黑体" w:cs="黑体"/>
          <w:sz w:val="21"/>
          <w:szCs w:val="21"/>
        </w:rPr>
        <w:t>表</w:t>
      </w:r>
      <w:r>
        <w:rPr>
          <w:rFonts w:cs="Times New Roman"/>
          <w:sz w:val="21"/>
          <w:szCs w:val="21"/>
        </w:rPr>
        <w:fldChar w:fldCharType="begin"/>
      </w:r>
      <w:r>
        <w:rPr>
          <w:rFonts w:cs="Times New Roman"/>
          <w:sz w:val="21"/>
          <w:szCs w:val="21"/>
        </w:rPr>
        <w:instrText xml:space="preserve"> </w:instrText>
      </w:r>
      <w:r>
        <w:rPr>
          <w:rFonts w:hint="eastAsia" w:cs="Times New Roman"/>
          <w:sz w:val="21"/>
          <w:szCs w:val="21"/>
        </w:rPr>
        <w:instrText xml:space="preserve">STYLEREF 1 \s</w:instrText>
      </w:r>
      <w:r>
        <w:rPr>
          <w:rFonts w:cs="Times New Roman"/>
          <w:sz w:val="21"/>
          <w:szCs w:val="21"/>
        </w:rPr>
        <w:instrText xml:space="preserve"> </w:instrText>
      </w:r>
      <w:r>
        <w:rPr>
          <w:rFonts w:cs="Times New Roman"/>
          <w:sz w:val="21"/>
          <w:szCs w:val="21"/>
        </w:rPr>
        <w:fldChar w:fldCharType="separate"/>
      </w:r>
      <w:r>
        <w:rPr>
          <w:rFonts w:cs="Times New Roman"/>
          <w:sz w:val="21"/>
          <w:szCs w:val="21"/>
        </w:rPr>
        <w:t>3</w:t>
      </w:r>
      <w:r>
        <w:rPr>
          <w:rFonts w:cs="Times New Roman"/>
          <w:sz w:val="21"/>
          <w:szCs w:val="21"/>
        </w:rPr>
        <w:fldChar w:fldCharType="end"/>
      </w:r>
      <w:r>
        <w:rPr>
          <w:rFonts w:cs="Times New Roman"/>
          <w:sz w:val="21"/>
          <w:szCs w:val="21"/>
        </w:rPr>
        <w:t>-</w:t>
      </w:r>
      <w:r>
        <w:rPr>
          <w:rFonts w:hint="eastAsia" w:cs="Times New Roman"/>
          <w:sz w:val="21"/>
          <w:szCs w:val="21"/>
        </w:rPr>
        <w:t>2</w:t>
      </w:r>
      <w:r>
        <w:rPr>
          <w:rFonts w:cs="Times New Roman"/>
          <w:sz w:val="21"/>
          <w:szCs w:val="21"/>
        </w:rPr>
        <w:t xml:space="preserve"> </w:t>
      </w:r>
    </w:p>
    <w:tbl>
      <w:tblPr>
        <w:tblStyle w:val="33"/>
        <w:tblW w:w="0" w:type="auto"/>
        <w:tblInd w:w="1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0"/>
        <w:gridCol w:w="930"/>
        <w:gridCol w:w="2310"/>
        <w:gridCol w:w="2470"/>
        <w:gridCol w:w="2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tblHeader/>
        </w:trPr>
        <w:tc>
          <w:tcPr>
            <w:tcW w:w="880" w:type="dxa"/>
            <w:vMerge w:val="restart"/>
            <w:vAlign w:val="center"/>
          </w:tcPr>
          <w:p>
            <w:pPr>
              <w:pStyle w:val="44"/>
              <w:rPr>
                <w:rFonts w:eastAsia="仿宋" w:cs="Times New Roman"/>
                <w:szCs w:val="21"/>
              </w:rPr>
            </w:pPr>
            <w:r>
              <w:rPr>
                <w:rFonts w:hint="eastAsia" w:eastAsia="仿宋" w:cs="Times New Roman"/>
                <w:szCs w:val="21"/>
              </w:rPr>
              <w:t>大项</w:t>
            </w:r>
          </w:p>
        </w:tc>
        <w:tc>
          <w:tcPr>
            <w:tcW w:w="930" w:type="dxa"/>
            <w:vMerge w:val="restart"/>
            <w:vAlign w:val="center"/>
          </w:tcPr>
          <w:p>
            <w:pPr>
              <w:pStyle w:val="44"/>
              <w:rPr>
                <w:rFonts w:eastAsia="仿宋" w:cs="Times New Roman"/>
                <w:szCs w:val="21"/>
              </w:rPr>
            </w:pPr>
            <w:r>
              <w:rPr>
                <w:rFonts w:hint="eastAsia" w:eastAsia="仿宋" w:cs="Times New Roman"/>
                <w:szCs w:val="21"/>
              </w:rPr>
              <w:t>分项</w:t>
            </w:r>
          </w:p>
        </w:tc>
        <w:tc>
          <w:tcPr>
            <w:tcW w:w="6950" w:type="dxa"/>
            <w:gridSpan w:val="3"/>
            <w:vAlign w:val="center"/>
          </w:tcPr>
          <w:p>
            <w:pPr>
              <w:pStyle w:val="44"/>
              <w:rPr>
                <w:rFonts w:eastAsia="仿宋" w:cs="Times New Roman"/>
                <w:szCs w:val="21"/>
              </w:rPr>
            </w:pPr>
            <w:r>
              <w:rPr>
                <w:rFonts w:hint="eastAsia" w:eastAsia="仿宋" w:cs="Times New Roman"/>
                <w:szCs w:val="21"/>
              </w:rPr>
              <w:t>评分等级与评分标准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blHeader/>
        </w:trPr>
        <w:tc>
          <w:tcPr>
            <w:tcW w:w="880" w:type="dxa"/>
            <w:vMerge w:val="continue"/>
            <w:vAlign w:val="center"/>
          </w:tcPr>
          <w:p>
            <w:pPr>
              <w:pStyle w:val="44"/>
              <w:rPr>
                <w:rFonts w:eastAsia="仿宋" w:cs="Times New Roman"/>
                <w:szCs w:val="21"/>
              </w:rPr>
            </w:pPr>
          </w:p>
        </w:tc>
        <w:tc>
          <w:tcPr>
            <w:tcW w:w="930" w:type="dxa"/>
            <w:vMerge w:val="continue"/>
            <w:vAlign w:val="center"/>
          </w:tcPr>
          <w:p>
            <w:pPr>
              <w:pStyle w:val="44"/>
              <w:rPr>
                <w:rFonts w:eastAsia="仿宋" w:cs="Times New Roman"/>
                <w:szCs w:val="21"/>
              </w:rPr>
            </w:pPr>
          </w:p>
        </w:tc>
        <w:tc>
          <w:tcPr>
            <w:tcW w:w="2310" w:type="dxa"/>
            <w:vAlign w:val="center"/>
          </w:tcPr>
          <w:p>
            <w:pPr>
              <w:pStyle w:val="44"/>
              <w:rPr>
                <w:rFonts w:eastAsia="仿宋" w:cs="Times New Roman"/>
                <w:szCs w:val="21"/>
              </w:rPr>
            </w:pPr>
            <w:r>
              <w:rPr>
                <w:rFonts w:hint="eastAsia" w:eastAsia="仿宋" w:cs="Times New Roman"/>
                <w:szCs w:val="21"/>
              </w:rPr>
              <w:t>优良（≥8</w:t>
            </w:r>
            <w:r>
              <w:rPr>
                <w:rFonts w:eastAsia="仿宋" w:cs="Times New Roman"/>
                <w:szCs w:val="21"/>
              </w:rPr>
              <w:t>0</w:t>
            </w:r>
            <w:r>
              <w:rPr>
                <w:rFonts w:hint="eastAsia" w:eastAsia="仿宋" w:cs="Times New Roman"/>
                <w:szCs w:val="21"/>
              </w:rPr>
              <w:t>）</w:t>
            </w:r>
          </w:p>
        </w:tc>
        <w:tc>
          <w:tcPr>
            <w:tcW w:w="2470" w:type="dxa"/>
            <w:vAlign w:val="center"/>
          </w:tcPr>
          <w:p>
            <w:pPr>
              <w:pStyle w:val="44"/>
              <w:rPr>
                <w:rFonts w:eastAsia="仿宋" w:cs="Times New Roman"/>
                <w:szCs w:val="21"/>
              </w:rPr>
            </w:pPr>
            <w:r>
              <w:rPr>
                <w:rFonts w:hint="eastAsia" w:eastAsia="仿宋" w:cs="Times New Roman"/>
                <w:szCs w:val="21"/>
              </w:rPr>
              <w:t>中（＜8</w:t>
            </w:r>
            <w:r>
              <w:rPr>
                <w:rFonts w:eastAsia="仿宋" w:cs="Times New Roman"/>
                <w:szCs w:val="21"/>
              </w:rPr>
              <w:t>0</w:t>
            </w:r>
            <w:r>
              <w:rPr>
                <w:rFonts w:hint="eastAsia" w:eastAsia="仿宋" w:cs="Times New Roman"/>
                <w:szCs w:val="21"/>
              </w:rPr>
              <w:t>，≥6</w:t>
            </w:r>
            <w:r>
              <w:rPr>
                <w:rFonts w:eastAsia="仿宋" w:cs="Times New Roman"/>
                <w:szCs w:val="21"/>
              </w:rPr>
              <w:t>0</w:t>
            </w:r>
            <w:r>
              <w:rPr>
                <w:rFonts w:hint="eastAsia" w:eastAsia="仿宋" w:cs="Times New Roman"/>
                <w:szCs w:val="21"/>
              </w:rPr>
              <w:t>分）</w:t>
            </w:r>
          </w:p>
        </w:tc>
        <w:tc>
          <w:tcPr>
            <w:tcW w:w="2170" w:type="dxa"/>
            <w:vAlign w:val="center"/>
          </w:tcPr>
          <w:p>
            <w:pPr>
              <w:pStyle w:val="44"/>
              <w:rPr>
                <w:rFonts w:eastAsia="仿宋" w:cs="Times New Roman"/>
                <w:szCs w:val="21"/>
              </w:rPr>
            </w:pPr>
            <w:r>
              <w:rPr>
                <w:rFonts w:hint="eastAsia" w:eastAsia="仿宋" w:cs="Times New Roman"/>
                <w:szCs w:val="21"/>
              </w:rPr>
              <w:t>差（＜6</w:t>
            </w:r>
            <w:r>
              <w:rPr>
                <w:rFonts w:eastAsia="仿宋" w:cs="Times New Roman"/>
                <w:szCs w:val="21"/>
              </w:rPr>
              <w:t>0</w:t>
            </w:r>
            <w:r>
              <w:rPr>
                <w:rFonts w:hint="eastAsia" w:eastAsia="仿宋" w:cs="Times New Roman"/>
                <w:szCs w:val="21"/>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0" w:hRule="atLeast"/>
        </w:trPr>
        <w:tc>
          <w:tcPr>
            <w:tcW w:w="880" w:type="dxa"/>
            <w:vMerge w:val="restart"/>
            <w:vAlign w:val="center"/>
          </w:tcPr>
          <w:p>
            <w:pPr>
              <w:pStyle w:val="45"/>
              <w:rPr>
                <w:rFonts w:eastAsia="仿宋" w:cs="Times New Roman"/>
                <w:sz w:val="21"/>
                <w:szCs w:val="21"/>
              </w:rPr>
            </w:pPr>
            <w:r>
              <w:rPr>
                <w:rFonts w:hint="eastAsia" w:eastAsia="仿宋" w:cs="Times New Roman"/>
                <w:sz w:val="21"/>
                <w:szCs w:val="21"/>
              </w:rPr>
              <w:t>资源本底条件</w:t>
            </w:r>
          </w:p>
        </w:tc>
        <w:tc>
          <w:tcPr>
            <w:tcW w:w="930" w:type="dxa"/>
            <w:vAlign w:val="center"/>
          </w:tcPr>
          <w:p>
            <w:pPr>
              <w:pStyle w:val="45"/>
              <w:rPr>
                <w:rFonts w:eastAsia="仿宋" w:cs="Times New Roman"/>
                <w:sz w:val="21"/>
                <w:szCs w:val="21"/>
              </w:rPr>
            </w:pPr>
            <w:r>
              <w:rPr>
                <w:rFonts w:hint="eastAsia" w:eastAsia="仿宋" w:cs="Times New Roman"/>
                <w:sz w:val="21"/>
                <w:szCs w:val="21"/>
              </w:rPr>
              <w:t>生态系统</w:t>
            </w:r>
          </w:p>
        </w:tc>
        <w:tc>
          <w:tcPr>
            <w:tcW w:w="2310" w:type="dxa"/>
            <w:vAlign w:val="center"/>
          </w:tcPr>
          <w:p>
            <w:pPr>
              <w:pStyle w:val="45"/>
              <w:jc w:val="both"/>
              <w:rPr>
                <w:rFonts w:eastAsia="仿宋" w:cs="Times New Roman"/>
                <w:sz w:val="21"/>
                <w:szCs w:val="21"/>
              </w:rPr>
            </w:pPr>
            <w:r>
              <w:rPr>
                <w:rFonts w:hint="eastAsia" w:eastAsia="仿宋" w:cs="Times New Roman"/>
                <w:sz w:val="21"/>
                <w:szCs w:val="21"/>
              </w:rPr>
              <w:t>湿地生态系统类型在全国具有典型性、独特性、湿地生态系统多样性丰富，生态系统功能表现突出。</w:t>
            </w:r>
          </w:p>
        </w:tc>
        <w:tc>
          <w:tcPr>
            <w:tcW w:w="2470" w:type="dxa"/>
            <w:vAlign w:val="center"/>
          </w:tcPr>
          <w:p>
            <w:pPr>
              <w:pStyle w:val="45"/>
              <w:jc w:val="both"/>
              <w:rPr>
                <w:rFonts w:eastAsia="仿宋" w:cs="Times New Roman"/>
                <w:sz w:val="21"/>
                <w:szCs w:val="21"/>
              </w:rPr>
            </w:pPr>
            <w:r>
              <w:rPr>
                <w:rFonts w:hint="eastAsia" w:eastAsia="仿宋" w:cs="Times New Roman"/>
                <w:sz w:val="21"/>
                <w:szCs w:val="21"/>
              </w:rPr>
              <w:t>湿地生态系统类型在省级行政区内具有典型性、独特性、湿地生态系统多样性较丰富，生态系统功能表现突出。</w:t>
            </w:r>
          </w:p>
        </w:tc>
        <w:tc>
          <w:tcPr>
            <w:tcW w:w="2170" w:type="dxa"/>
            <w:vAlign w:val="center"/>
          </w:tcPr>
          <w:p>
            <w:pPr>
              <w:pStyle w:val="45"/>
              <w:jc w:val="both"/>
              <w:rPr>
                <w:rFonts w:eastAsia="仿宋" w:cs="Times New Roman"/>
                <w:sz w:val="21"/>
                <w:szCs w:val="21"/>
              </w:rPr>
            </w:pPr>
            <w:r>
              <w:rPr>
                <w:rFonts w:hint="eastAsia" w:eastAsia="仿宋" w:cs="Times New Roman"/>
                <w:sz w:val="21"/>
                <w:szCs w:val="21"/>
              </w:rPr>
              <w:t>湿地生态系统类型典型性、独特性、湿地生态系统多样性或生态系统功能表现一般。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8" w:hRule="atLeast"/>
        </w:trPr>
        <w:tc>
          <w:tcPr>
            <w:tcW w:w="880" w:type="dxa"/>
            <w:vMerge w:val="continue"/>
            <w:vAlign w:val="center"/>
          </w:tcPr>
          <w:p>
            <w:pPr>
              <w:pStyle w:val="45"/>
              <w:rPr>
                <w:rFonts w:eastAsia="仿宋" w:cs="Times New Roman"/>
                <w:sz w:val="21"/>
                <w:szCs w:val="21"/>
              </w:rPr>
            </w:pPr>
          </w:p>
        </w:tc>
        <w:tc>
          <w:tcPr>
            <w:tcW w:w="930" w:type="dxa"/>
            <w:vAlign w:val="center"/>
          </w:tcPr>
          <w:p>
            <w:pPr>
              <w:pStyle w:val="45"/>
              <w:rPr>
                <w:rFonts w:eastAsia="仿宋" w:cs="Times New Roman"/>
                <w:sz w:val="21"/>
                <w:szCs w:val="21"/>
              </w:rPr>
            </w:pPr>
            <w:r>
              <w:rPr>
                <w:rFonts w:hint="eastAsia" w:eastAsia="仿宋" w:cs="Times New Roman"/>
                <w:sz w:val="21"/>
                <w:szCs w:val="21"/>
              </w:rPr>
              <w:t>物种多样性</w:t>
            </w:r>
          </w:p>
        </w:tc>
        <w:tc>
          <w:tcPr>
            <w:tcW w:w="2310" w:type="dxa"/>
            <w:vAlign w:val="center"/>
          </w:tcPr>
          <w:p>
            <w:pPr>
              <w:pStyle w:val="45"/>
              <w:jc w:val="both"/>
              <w:rPr>
                <w:rFonts w:eastAsia="仿宋" w:cs="Times New Roman"/>
                <w:sz w:val="21"/>
                <w:szCs w:val="21"/>
              </w:rPr>
            </w:pPr>
            <w:r>
              <w:rPr>
                <w:rFonts w:hint="eastAsia" w:eastAsia="仿宋" w:cs="Times New Roman"/>
                <w:sz w:val="21"/>
                <w:szCs w:val="21"/>
              </w:rPr>
              <w:t>野生生物物种：物种种数占其所在省级行政区内湿地物种种数的比例大于10%，或维管束植物物种数大于150种，或脊椎动物种数大于100种，或水鸟数量：定期栖息的水鸟10000只或更多。</w:t>
            </w:r>
          </w:p>
        </w:tc>
        <w:tc>
          <w:tcPr>
            <w:tcW w:w="2470" w:type="dxa"/>
            <w:vAlign w:val="center"/>
          </w:tcPr>
          <w:p>
            <w:pPr>
              <w:pStyle w:val="45"/>
              <w:jc w:val="both"/>
              <w:rPr>
                <w:rFonts w:eastAsia="仿宋" w:cs="Times New Roman"/>
                <w:sz w:val="21"/>
                <w:szCs w:val="21"/>
              </w:rPr>
            </w:pPr>
            <w:r>
              <w:rPr>
                <w:rFonts w:hint="eastAsia" w:eastAsia="仿宋" w:cs="Times New Roman"/>
                <w:sz w:val="21"/>
                <w:szCs w:val="21"/>
              </w:rPr>
              <w:t>野生生物物种：物种种数占其所在省级行政区内湿地物种种数的比例大于3～10%，或维管束植物物种数达100～150种，或脊椎动物种数达50～100种，或水鸟数量：定期栖息的水鸟5000～10000只。</w:t>
            </w:r>
          </w:p>
        </w:tc>
        <w:tc>
          <w:tcPr>
            <w:tcW w:w="2170" w:type="dxa"/>
            <w:vAlign w:val="center"/>
          </w:tcPr>
          <w:p>
            <w:pPr>
              <w:pStyle w:val="45"/>
              <w:jc w:val="both"/>
              <w:rPr>
                <w:rFonts w:eastAsia="仿宋" w:cs="Times New Roman"/>
                <w:sz w:val="21"/>
                <w:szCs w:val="21"/>
              </w:rPr>
            </w:pPr>
            <w:r>
              <w:rPr>
                <w:rFonts w:hint="eastAsia" w:eastAsia="仿宋" w:cs="Times New Roman"/>
                <w:sz w:val="21"/>
                <w:szCs w:val="21"/>
              </w:rPr>
              <w:t>野生生物物种：物种种数占其所在省级行政区内湿地物种种数的比例3%以下，或维管束植物物种数100种以下，或脊椎动物种数50种以下，或水鸟数量：定期栖息的水鸟5000只以下。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6" w:hRule="atLeast"/>
        </w:trPr>
        <w:tc>
          <w:tcPr>
            <w:tcW w:w="880" w:type="dxa"/>
            <w:vMerge w:val="continue"/>
            <w:vAlign w:val="center"/>
          </w:tcPr>
          <w:p>
            <w:pPr>
              <w:pStyle w:val="45"/>
              <w:rPr>
                <w:rFonts w:eastAsia="仿宋" w:cs="Times New Roman"/>
                <w:sz w:val="21"/>
                <w:szCs w:val="21"/>
              </w:rPr>
            </w:pPr>
          </w:p>
        </w:tc>
        <w:tc>
          <w:tcPr>
            <w:tcW w:w="930" w:type="dxa"/>
            <w:vAlign w:val="center"/>
          </w:tcPr>
          <w:p>
            <w:pPr>
              <w:pStyle w:val="45"/>
              <w:rPr>
                <w:rFonts w:eastAsia="仿宋" w:cs="Times New Roman"/>
                <w:sz w:val="21"/>
                <w:szCs w:val="21"/>
              </w:rPr>
            </w:pPr>
            <w:r>
              <w:rPr>
                <w:rFonts w:hint="eastAsia" w:eastAsia="仿宋" w:cs="Times New Roman"/>
                <w:sz w:val="21"/>
                <w:szCs w:val="21"/>
              </w:rPr>
              <w:t>物种稀有性或独特性</w:t>
            </w:r>
          </w:p>
        </w:tc>
        <w:tc>
          <w:tcPr>
            <w:tcW w:w="2310" w:type="dxa"/>
            <w:vAlign w:val="center"/>
          </w:tcPr>
          <w:p>
            <w:pPr>
              <w:pStyle w:val="45"/>
              <w:jc w:val="both"/>
              <w:rPr>
                <w:rFonts w:eastAsia="仿宋" w:cs="Times New Roman"/>
                <w:sz w:val="21"/>
                <w:szCs w:val="21"/>
              </w:rPr>
            </w:pPr>
            <w:r>
              <w:rPr>
                <w:rFonts w:hint="eastAsia" w:eastAsia="仿宋" w:cs="Times New Roman"/>
                <w:sz w:val="21"/>
                <w:szCs w:val="21"/>
              </w:rPr>
              <w:t>有国家Ⅰ级保护、极危或中国特有物种。</w:t>
            </w:r>
          </w:p>
        </w:tc>
        <w:tc>
          <w:tcPr>
            <w:tcW w:w="2470" w:type="dxa"/>
            <w:vAlign w:val="center"/>
          </w:tcPr>
          <w:p>
            <w:pPr>
              <w:pStyle w:val="45"/>
              <w:jc w:val="both"/>
              <w:rPr>
                <w:rFonts w:eastAsia="仿宋" w:cs="Times New Roman"/>
                <w:sz w:val="21"/>
                <w:szCs w:val="21"/>
              </w:rPr>
            </w:pPr>
            <w:r>
              <w:rPr>
                <w:rFonts w:hint="eastAsia" w:eastAsia="仿宋" w:cs="Times New Roman"/>
                <w:sz w:val="21"/>
                <w:szCs w:val="21"/>
              </w:rPr>
              <w:t>有国家Ⅱ级保护、濒危或易危物种或区域性特有物种。</w:t>
            </w:r>
          </w:p>
        </w:tc>
        <w:tc>
          <w:tcPr>
            <w:tcW w:w="2170" w:type="dxa"/>
            <w:vAlign w:val="center"/>
          </w:tcPr>
          <w:p>
            <w:pPr>
              <w:pStyle w:val="45"/>
              <w:jc w:val="both"/>
              <w:rPr>
                <w:rFonts w:eastAsia="仿宋" w:cs="Times New Roman"/>
                <w:sz w:val="21"/>
                <w:szCs w:val="21"/>
              </w:rPr>
            </w:pPr>
            <w:r>
              <w:rPr>
                <w:rFonts w:hint="eastAsia" w:eastAsia="仿宋" w:cs="Times New Roman"/>
                <w:sz w:val="21"/>
                <w:szCs w:val="21"/>
              </w:rPr>
              <w:t>无国家Ⅰ、Ⅱ级保护极危、濒危或易危物种，无特有物种。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6" w:hRule="atLeast"/>
        </w:trPr>
        <w:tc>
          <w:tcPr>
            <w:tcW w:w="880" w:type="dxa"/>
            <w:vMerge w:val="continue"/>
            <w:vAlign w:val="center"/>
          </w:tcPr>
          <w:p>
            <w:pPr>
              <w:pStyle w:val="45"/>
              <w:rPr>
                <w:rFonts w:eastAsia="仿宋" w:cs="Times New Roman"/>
                <w:sz w:val="21"/>
                <w:szCs w:val="21"/>
              </w:rPr>
            </w:pPr>
          </w:p>
        </w:tc>
        <w:tc>
          <w:tcPr>
            <w:tcW w:w="930" w:type="dxa"/>
            <w:vAlign w:val="center"/>
          </w:tcPr>
          <w:p>
            <w:pPr>
              <w:pStyle w:val="45"/>
              <w:rPr>
                <w:rFonts w:eastAsia="仿宋" w:cs="Times New Roman"/>
                <w:sz w:val="21"/>
                <w:szCs w:val="21"/>
              </w:rPr>
            </w:pPr>
            <w:r>
              <w:rPr>
                <w:rFonts w:hint="eastAsia" w:eastAsia="仿宋" w:cs="Times New Roman"/>
                <w:sz w:val="21"/>
                <w:szCs w:val="21"/>
              </w:rPr>
              <w:t>生态区位重要性</w:t>
            </w:r>
          </w:p>
        </w:tc>
        <w:tc>
          <w:tcPr>
            <w:tcW w:w="2310" w:type="dxa"/>
            <w:vAlign w:val="center"/>
          </w:tcPr>
          <w:p>
            <w:pPr>
              <w:pStyle w:val="45"/>
              <w:jc w:val="both"/>
              <w:rPr>
                <w:rFonts w:eastAsia="仿宋" w:cs="Times New Roman"/>
                <w:sz w:val="21"/>
                <w:szCs w:val="21"/>
              </w:rPr>
            </w:pPr>
            <w:r>
              <w:rPr>
                <w:rFonts w:hint="eastAsia" w:eastAsia="仿宋" w:cs="Times New Roman"/>
                <w:sz w:val="21"/>
                <w:szCs w:val="21"/>
              </w:rPr>
              <w:t>位于《全国主体功能区划》中的禁止开发区或限制开发区中的重点生态功能区、且湿地面积300公顷以上。</w:t>
            </w:r>
          </w:p>
        </w:tc>
        <w:tc>
          <w:tcPr>
            <w:tcW w:w="2470" w:type="dxa"/>
            <w:vAlign w:val="center"/>
          </w:tcPr>
          <w:p>
            <w:pPr>
              <w:pStyle w:val="45"/>
              <w:jc w:val="both"/>
              <w:rPr>
                <w:rFonts w:eastAsia="仿宋" w:cs="Times New Roman"/>
                <w:sz w:val="21"/>
                <w:szCs w:val="21"/>
              </w:rPr>
            </w:pPr>
            <w:r>
              <w:rPr>
                <w:rFonts w:hint="eastAsia" w:eastAsia="仿宋" w:cs="Times New Roman"/>
                <w:sz w:val="21"/>
                <w:szCs w:val="21"/>
              </w:rPr>
              <w:t>与《全国主体功能区划》中的禁止开发区或限制开发区中的重点生态功能区相邻、或位于省级主体功能区划中的禁止开发区或限制开发区中的重点生态功能区，且湿地面积100-300公顷。</w:t>
            </w:r>
          </w:p>
        </w:tc>
        <w:tc>
          <w:tcPr>
            <w:tcW w:w="2170" w:type="dxa"/>
            <w:vAlign w:val="center"/>
          </w:tcPr>
          <w:p>
            <w:pPr>
              <w:pStyle w:val="45"/>
              <w:jc w:val="both"/>
              <w:rPr>
                <w:rFonts w:eastAsia="仿宋" w:cs="Times New Roman"/>
                <w:sz w:val="21"/>
                <w:szCs w:val="21"/>
              </w:rPr>
            </w:pPr>
            <w:r>
              <w:rPr>
                <w:rFonts w:hint="eastAsia" w:eastAsia="仿宋" w:cs="Times New Roman"/>
                <w:sz w:val="21"/>
                <w:szCs w:val="21"/>
              </w:rPr>
              <w:t>其他区域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6" w:hRule="atLeast"/>
        </w:trPr>
        <w:tc>
          <w:tcPr>
            <w:tcW w:w="880" w:type="dxa"/>
            <w:vMerge w:val="continue"/>
            <w:vAlign w:val="center"/>
          </w:tcPr>
          <w:p>
            <w:pPr>
              <w:pStyle w:val="45"/>
              <w:rPr>
                <w:rFonts w:eastAsia="仿宋" w:cs="Times New Roman"/>
                <w:sz w:val="21"/>
                <w:szCs w:val="21"/>
              </w:rPr>
            </w:pPr>
          </w:p>
        </w:tc>
        <w:tc>
          <w:tcPr>
            <w:tcW w:w="930" w:type="dxa"/>
            <w:vAlign w:val="center"/>
          </w:tcPr>
          <w:p>
            <w:pPr>
              <w:pStyle w:val="45"/>
              <w:rPr>
                <w:rFonts w:eastAsia="仿宋" w:cs="Times New Roman"/>
                <w:sz w:val="21"/>
                <w:szCs w:val="21"/>
              </w:rPr>
            </w:pPr>
            <w:r>
              <w:rPr>
                <w:rFonts w:hint="eastAsia" w:eastAsia="仿宋" w:cs="Times New Roman"/>
                <w:sz w:val="21"/>
                <w:szCs w:val="21"/>
              </w:rPr>
              <w:t>科普宣</w:t>
            </w:r>
          </w:p>
          <w:p>
            <w:pPr>
              <w:pStyle w:val="45"/>
              <w:rPr>
                <w:rFonts w:eastAsia="仿宋" w:cs="Times New Roman"/>
                <w:sz w:val="21"/>
                <w:szCs w:val="21"/>
              </w:rPr>
            </w:pPr>
            <w:r>
              <w:rPr>
                <w:rFonts w:hint="eastAsia" w:eastAsia="仿宋" w:cs="Times New Roman"/>
                <w:sz w:val="21"/>
                <w:szCs w:val="21"/>
              </w:rPr>
              <w:t>教价值</w:t>
            </w:r>
          </w:p>
        </w:tc>
        <w:tc>
          <w:tcPr>
            <w:tcW w:w="2310" w:type="dxa"/>
            <w:vAlign w:val="center"/>
          </w:tcPr>
          <w:p>
            <w:pPr>
              <w:pStyle w:val="45"/>
              <w:jc w:val="both"/>
              <w:rPr>
                <w:rFonts w:eastAsia="仿宋" w:cs="Times New Roman"/>
                <w:sz w:val="21"/>
                <w:szCs w:val="21"/>
              </w:rPr>
            </w:pPr>
            <w:r>
              <w:rPr>
                <w:rFonts w:hint="eastAsia" w:eastAsia="仿宋" w:cs="Times New Roman"/>
                <w:sz w:val="21"/>
                <w:szCs w:val="21"/>
              </w:rPr>
              <w:t>在湿地知识科学普及和环境保护教育方面具有很高价值。</w:t>
            </w:r>
          </w:p>
        </w:tc>
        <w:tc>
          <w:tcPr>
            <w:tcW w:w="2470" w:type="dxa"/>
            <w:vAlign w:val="center"/>
          </w:tcPr>
          <w:p>
            <w:pPr>
              <w:pStyle w:val="45"/>
              <w:jc w:val="both"/>
              <w:rPr>
                <w:rFonts w:eastAsia="仿宋" w:cs="Times New Roman"/>
                <w:sz w:val="21"/>
                <w:szCs w:val="21"/>
              </w:rPr>
            </w:pPr>
            <w:r>
              <w:rPr>
                <w:rFonts w:hint="eastAsia" w:eastAsia="仿宋" w:cs="Times New Roman"/>
                <w:sz w:val="21"/>
                <w:szCs w:val="21"/>
              </w:rPr>
              <w:t>在湿地知识科学普及和环境保护教育方面具有较高的价值。</w:t>
            </w:r>
          </w:p>
        </w:tc>
        <w:tc>
          <w:tcPr>
            <w:tcW w:w="2170" w:type="dxa"/>
            <w:vAlign w:val="center"/>
          </w:tcPr>
          <w:p>
            <w:pPr>
              <w:pStyle w:val="45"/>
              <w:jc w:val="both"/>
              <w:rPr>
                <w:rFonts w:eastAsia="仿宋" w:cs="Times New Roman"/>
                <w:sz w:val="21"/>
                <w:szCs w:val="21"/>
              </w:rPr>
            </w:pPr>
            <w:r>
              <w:rPr>
                <w:rFonts w:hint="eastAsia" w:eastAsia="仿宋" w:cs="Times New Roman"/>
                <w:sz w:val="21"/>
                <w:szCs w:val="21"/>
              </w:rPr>
              <w:t>在湿地知识科学普及和环境保护教育方面的价值一般。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0" w:hRule="atLeast"/>
        </w:trPr>
        <w:tc>
          <w:tcPr>
            <w:tcW w:w="880" w:type="dxa"/>
            <w:vMerge w:val="continue"/>
            <w:vAlign w:val="center"/>
          </w:tcPr>
          <w:p>
            <w:pPr>
              <w:pStyle w:val="45"/>
              <w:rPr>
                <w:rFonts w:eastAsia="仿宋" w:cs="Times New Roman"/>
                <w:sz w:val="21"/>
                <w:szCs w:val="21"/>
              </w:rPr>
            </w:pPr>
          </w:p>
        </w:tc>
        <w:tc>
          <w:tcPr>
            <w:tcW w:w="930" w:type="dxa"/>
            <w:vAlign w:val="center"/>
          </w:tcPr>
          <w:p>
            <w:pPr>
              <w:pStyle w:val="45"/>
              <w:rPr>
                <w:rFonts w:eastAsia="仿宋" w:cs="Times New Roman"/>
                <w:sz w:val="21"/>
                <w:szCs w:val="21"/>
              </w:rPr>
            </w:pPr>
            <w:r>
              <w:rPr>
                <w:rFonts w:hint="eastAsia" w:eastAsia="仿宋" w:cs="Times New Roman"/>
                <w:sz w:val="21"/>
                <w:szCs w:val="21"/>
              </w:rPr>
              <w:t>文化</w:t>
            </w:r>
          </w:p>
          <w:p>
            <w:pPr>
              <w:pStyle w:val="45"/>
              <w:rPr>
                <w:rFonts w:eastAsia="仿宋" w:cs="Times New Roman"/>
                <w:sz w:val="21"/>
                <w:szCs w:val="21"/>
              </w:rPr>
            </w:pPr>
            <w:r>
              <w:rPr>
                <w:rFonts w:hint="eastAsia" w:eastAsia="仿宋" w:cs="Times New Roman"/>
                <w:sz w:val="21"/>
                <w:szCs w:val="21"/>
              </w:rPr>
              <w:t>价值</w:t>
            </w:r>
          </w:p>
        </w:tc>
        <w:tc>
          <w:tcPr>
            <w:tcW w:w="2310" w:type="dxa"/>
            <w:vAlign w:val="center"/>
          </w:tcPr>
          <w:p>
            <w:pPr>
              <w:pStyle w:val="45"/>
              <w:jc w:val="both"/>
              <w:rPr>
                <w:rFonts w:eastAsia="仿宋" w:cs="Times New Roman"/>
                <w:sz w:val="21"/>
                <w:szCs w:val="21"/>
              </w:rPr>
            </w:pPr>
            <w:r>
              <w:rPr>
                <w:rFonts w:hint="eastAsia" w:eastAsia="仿宋" w:cs="Times New Roman"/>
                <w:sz w:val="21"/>
                <w:szCs w:val="21"/>
              </w:rPr>
              <w:t>有较高的湿地文化价值，保留有与湿地有关的历史形成、生产生活方式、历史遗迹、风俗习惯等。</w:t>
            </w:r>
          </w:p>
        </w:tc>
        <w:tc>
          <w:tcPr>
            <w:tcW w:w="2470" w:type="dxa"/>
            <w:vAlign w:val="center"/>
          </w:tcPr>
          <w:p>
            <w:pPr>
              <w:pStyle w:val="45"/>
              <w:jc w:val="both"/>
              <w:rPr>
                <w:rFonts w:eastAsia="仿宋" w:cs="Times New Roman"/>
                <w:sz w:val="21"/>
                <w:szCs w:val="21"/>
              </w:rPr>
            </w:pPr>
            <w:r>
              <w:rPr>
                <w:rFonts w:hint="eastAsia" w:eastAsia="仿宋" w:cs="Times New Roman"/>
                <w:sz w:val="21"/>
                <w:szCs w:val="21"/>
              </w:rPr>
              <w:t>文献中有一定的湿地文化价值、产生过与湿地有关的历史事件或历史人物等。</w:t>
            </w:r>
          </w:p>
        </w:tc>
        <w:tc>
          <w:tcPr>
            <w:tcW w:w="2170" w:type="dxa"/>
            <w:vAlign w:val="center"/>
          </w:tcPr>
          <w:p>
            <w:pPr>
              <w:pStyle w:val="45"/>
              <w:jc w:val="both"/>
              <w:rPr>
                <w:rFonts w:eastAsia="仿宋" w:cs="Times New Roman"/>
                <w:sz w:val="21"/>
                <w:szCs w:val="21"/>
              </w:rPr>
            </w:pPr>
            <w:r>
              <w:rPr>
                <w:rFonts w:hint="eastAsia" w:eastAsia="仿宋" w:cs="Times New Roman"/>
                <w:sz w:val="21"/>
                <w:szCs w:val="21"/>
              </w:rPr>
              <w:t>湿地文化价值较低，且无法考证。</w:t>
            </w:r>
          </w:p>
        </w:tc>
      </w:tr>
    </w:tbl>
    <w:p>
      <w:pPr>
        <w:pStyle w:val="6"/>
        <w:spacing w:before="197" w:beforeLines="50"/>
      </w:pPr>
      <w:bookmarkStart w:id="166" w:name="_Toc113925474"/>
      <w:bookmarkStart w:id="167" w:name="_Toc113925726"/>
      <w:r>
        <w:rPr>
          <w:rFonts w:hint="eastAsia"/>
        </w:rPr>
        <w:t>湿地生态系统评价</w:t>
      </w:r>
      <w:bookmarkEnd w:id="166"/>
      <w:bookmarkEnd w:id="167"/>
    </w:p>
    <w:p>
      <w:pPr>
        <w:ind w:firstLine="560"/>
        <w:rPr>
          <w:rFonts w:cs="Times New Roman"/>
        </w:rPr>
      </w:pPr>
      <w:r>
        <w:rPr>
          <w:rFonts w:hint="eastAsia" w:cs="Times New Roman"/>
        </w:rPr>
        <w:t>仙阳湖国家湿地公园湿地生态系统评价主要包括以下内容：</w:t>
      </w:r>
    </w:p>
    <w:p>
      <w:pPr>
        <w:pStyle w:val="47"/>
        <w:numPr>
          <w:ilvl w:val="255"/>
          <w:numId w:val="0"/>
        </w:numPr>
        <w:ind w:firstLine="560" w:firstLineChars="200"/>
        <w:rPr>
          <w:rFonts w:cs="Times New Roman"/>
        </w:rPr>
      </w:pPr>
      <w:r>
        <w:rPr>
          <w:rFonts w:hint="eastAsia" w:cs="Times New Roman"/>
        </w:rPr>
        <w:t>（1）生态系统典型性</w:t>
      </w:r>
    </w:p>
    <w:p>
      <w:pPr>
        <w:ind w:firstLine="560"/>
        <w:rPr>
          <w:rFonts w:cs="Times New Roman"/>
        </w:rPr>
      </w:pPr>
      <w:r>
        <w:rPr>
          <w:rFonts w:hint="eastAsia" w:cs="Times New Roman"/>
        </w:rPr>
        <w:t>仙阳湖是以较大水量的渫水永久性河流和水质优良的仙阳湖库塘湿地为主体组成的复合湿地生态系统，在我国武陵山区具有较强的典型性和代表性，在湖南省和我国南方区域具有较强的独特性，具有较高的科学价值和保护价值。其湖体形态自然，湖岸线优美，库容面积大，与森林紧密相依，湿地景观独特，观赏性强。湿地生态系统表现出来的原始水生态特征、自然的水生态过程，良好的水环境质量在湖南低山丘陵地区也甚为少见。</w:t>
      </w:r>
    </w:p>
    <w:p>
      <w:pPr>
        <w:pStyle w:val="47"/>
        <w:numPr>
          <w:ilvl w:val="255"/>
          <w:numId w:val="0"/>
        </w:numPr>
        <w:ind w:firstLine="560" w:firstLineChars="200"/>
        <w:rPr>
          <w:rFonts w:cs="Times New Roman"/>
        </w:rPr>
      </w:pPr>
      <w:r>
        <w:rPr>
          <w:rFonts w:hint="eastAsia" w:cs="Times New Roman"/>
        </w:rPr>
        <w:t>（2）生态系统独特性</w:t>
      </w:r>
    </w:p>
    <w:p>
      <w:pPr>
        <w:ind w:firstLine="560"/>
        <w:rPr>
          <w:rFonts w:cs="Times New Roman"/>
        </w:rPr>
      </w:pPr>
      <w:r>
        <w:rPr>
          <w:rFonts w:hint="eastAsia" w:cs="Times New Roman"/>
        </w:rPr>
        <w:t>仙阳湖国家湿地公园地处湖南屋脊壶瓶山向洞庭湖平原的中间过渡带，生态地位独特，生态特征显著，其良好的森林与大面积的水面湿地组成的复合生态系统为区域生物提供了良好的繁衍场所。</w:t>
      </w:r>
    </w:p>
    <w:p>
      <w:pPr>
        <w:pStyle w:val="47"/>
        <w:numPr>
          <w:ilvl w:val="255"/>
          <w:numId w:val="0"/>
        </w:numPr>
        <w:ind w:firstLine="560" w:firstLineChars="200"/>
        <w:rPr>
          <w:rFonts w:cs="Times New Roman"/>
        </w:rPr>
      </w:pPr>
      <w:r>
        <w:rPr>
          <w:rFonts w:hint="eastAsia" w:cs="Times New Roman"/>
        </w:rPr>
        <w:t>（3）湿地生态系统多样性</w:t>
      </w:r>
    </w:p>
    <w:p>
      <w:pPr>
        <w:ind w:firstLine="560"/>
        <w:rPr>
          <w:rFonts w:cs="Times New Roman"/>
        </w:rPr>
      </w:pPr>
      <w:r>
        <w:rPr>
          <w:rFonts w:hint="eastAsia" w:cs="Times New Roman"/>
        </w:rPr>
        <w:t>仙阳湖国家湿地公园内湿地分为河流湿地、沼泽湿地、人工湿地3个湿地类，永久性河流、洪泛平原、库塘、森林沼泽4个湿地型，其湿地生态系统多样性丰富，功能突出。</w:t>
      </w:r>
    </w:p>
    <w:p>
      <w:pPr>
        <w:ind w:firstLine="560"/>
        <w:rPr>
          <w:rFonts w:cs="Times New Roman"/>
        </w:rPr>
      </w:pPr>
      <w:r>
        <w:rPr>
          <w:rFonts w:hint="eastAsia" w:cs="Times New Roman"/>
        </w:rPr>
        <w:t>综上所述，仙阳湖国家湿地公园生态系统在全国具有典型性、独特性，湿地生态系统多样性丰富，生态系统功能表现非常突出，评价为“优良”。</w:t>
      </w:r>
    </w:p>
    <w:p>
      <w:pPr>
        <w:pStyle w:val="6"/>
      </w:pPr>
      <w:bookmarkStart w:id="168" w:name="_Toc113925475"/>
      <w:bookmarkStart w:id="169" w:name="_Toc113925727"/>
      <w:r>
        <w:rPr>
          <w:rFonts w:hint="eastAsia"/>
        </w:rPr>
        <w:t>物种多样性评价</w:t>
      </w:r>
      <w:bookmarkEnd w:id="168"/>
      <w:bookmarkEnd w:id="169"/>
    </w:p>
    <w:p>
      <w:pPr>
        <w:ind w:firstLine="560"/>
        <w:rPr>
          <w:rFonts w:cs="Times New Roman"/>
          <w:szCs w:val="28"/>
        </w:rPr>
      </w:pPr>
      <w:r>
        <w:rPr>
          <w:rFonts w:hint="eastAsia" w:cs="Times New Roman"/>
          <w:szCs w:val="28"/>
        </w:rPr>
        <w:t>仙阳湖国家湿地公园湿地生境多样，生物多样性丰富。经补充调查并统计，湿地公园及其周边有维管植物</w:t>
      </w:r>
      <w:r>
        <w:rPr>
          <w:rFonts w:cs="Times New Roman"/>
          <w:szCs w:val="28"/>
        </w:rPr>
        <w:t>128</w:t>
      </w:r>
      <w:r>
        <w:rPr>
          <w:rFonts w:hint="eastAsia" w:cs="Times New Roman"/>
          <w:szCs w:val="28"/>
        </w:rPr>
        <w:t>科4</w:t>
      </w:r>
      <w:r>
        <w:rPr>
          <w:rFonts w:cs="Times New Roman"/>
          <w:szCs w:val="28"/>
        </w:rPr>
        <w:t>04</w:t>
      </w:r>
      <w:r>
        <w:rPr>
          <w:rFonts w:hint="eastAsia" w:cs="Times New Roman"/>
          <w:szCs w:val="28"/>
        </w:rPr>
        <w:t>属</w:t>
      </w:r>
      <w:r>
        <w:rPr>
          <w:rFonts w:cs="Times New Roman"/>
          <w:szCs w:val="28"/>
        </w:rPr>
        <w:t>782</w:t>
      </w:r>
      <w:r>
        <w:rPr>
          <w:rFonts w:hint="eastAsia" w:cs="Times New Roman"/>
          <w:szCs w:val="28"/>
        </w:rPr>
        <w:t>种；有野生脊椎动物5纲2</w:t>
      </w:r>
      <w:r>
        <w:rPr>
          <w:rFonts w:cs="Times New Roman"/>
          <w:szCs w:val="28"/>
        </w:rPr>
        <w:t>6</w:t>
      </w:r>
      <w:r>
        <w:rPr>
          <w:rFonts w:hint="eastAsia" w:cs="Times New Roman"/>
          <w:szCs w:val="28"/>
        </w:rPr>
        <w:t>目7</w:t>
      </w:r>
      <w:r>
        <w:rPr>
          <w:rFonts w:cs="Times New Roman"/>
          <w:szCs w:val="28"/>
        </w:rPr>
        <w:t>1</w:t>
      </w:r>
      <w:r>
        <w:rPr>
          <w:rFonts w:hint="eastAsia" w:cs="Times New Roman"/>
          <w:szCs w:val="28"/>
        </w:rPr>
        <w:t>科</w:t>
      </w:r>
      <w:r>
        <w:rPr>
          <w:rFonts w:cs="Times New Roman"/>
          <w:szCs w:val="28"/>
        </w:rPr>
        <w:t>208</w:t>
      </w:r>
      <w:r>
        <w:rPr>
          <w:rFonts w:hint="eastAsia" w:cs="Times New Roman"/>
          <w:szCs w:val="28"/>
        </w:rPr>
        <w:t>种。因此，湿地公园生物多样性丰富，在湖南省和我国南方地区生物多样性保护方面具有重要地位。</w:t>
      </w:r>
    </w:p>
    <w:p>
      <w:pPr>
        <w:ind w:firstLine="560"/>
        <w:rPr>
          <w:rFonts w:cs="Times New Roman"/>
          <w:szCs w:val="28"/>
        </w:rPr>
      </w:pPr>
      <w:r>
        <w:rPr>
          <w:rFonts w:hint="eastAsia" w:cs="Times New Roman"/>
          <w:szCs w:val="28"/>
        </w:rPr>
        <w:t>综上所述，仙阳湖国家湿地公园物种多样性丰富，公园内维管植物大于1</w:t>
      </w:r>
      <w:r>
        <w:rPr>
          <w:rFonts w:cs="Times New Roman"/>
          <w:szCs w:val="28"/>
        </w:rPr>
        <w:t>50</w:t>
      </w:r>
      <w:r>
        <w:rPr>
          <w:rFonts w:hint="eastAsia" w:cs="Times New Roman"/>
          <w:szCs w:val="28"/>
        </w:rPr>
        <w:t>种，脊椎动物种数大于100种，物种多样性评价为“优良”。</w:t>
      </w:r>
    </w:p>
    <w:p>
      <w:pPr>
        <w:pStyle w:val="6"/>
        <w:numPr>
          <w:ilvl w:val="2"/>
          <w:numId w:val="20"/>
        </w:numPr>
      </w:pPr>
      <w:bookmarkStart w:id="170" w:name="_Toc113925728"/>
      <w:bookmarkStart w:id="171" w:name="_Toc113925476"/>
      <w:r>
        <w:rPr>
          <w:rFonts w:hint="eastAsia"/>
        </w:rPr>
        <w:t>物种稀有性或独特性评价</w:t>
      </w:r>
      <w:bookmarkEnd w:id="170"/>
      <w:bookmarkEnd w:id="171"/>
    </w:p>
    <w:p>
      <w:pPr>
        <w:ind w:firstLine="560"/>
        <w:rPr>
          <w:rFonts w:cs="Times New Roman"/>
          <w:szCs w:val="28"/>
        </w:rPr>
      </w:pPr>
      <w:r>
        <w:rPr>
          <w:rFonts w:hint="eastAsia" w:cs="Times New Roman"/>
          <w:szCs w:val="28"/>
        </w:rPr>
        <w:t>根据《国家重点保护野生植物名录》（2</w:t>
      </w:r>
      <w:r>
        <w:rPr>
          <w:rFonts w:cs="Times New Roman"/>
          <w:szCs w:val="28"/>
        </w:rPr>
        <w:t>021</w:t>
      </w:r>
      <w:r>
        <w:rPr>
          <w:rFonts w:hint="eastAsia" w:cs="Times New Roman"/>
          <w:szCs w:val="28"/>
        </w:rPr>
        <w:t>年第1</w:t>
      </w:r>
      <w:r>
        <w:rPr>
          <w:rFonts w:cs="Times New Roman"/>
          <w:szCs w:val="28"/>
        </w:rPr>
        <w:t>5</w:t>
      </w:r>
      <w:r>
        <w:rPr>
          <w:rFonts w:hint="eastAsia" w:cs="Times New Roman"/>
          <w:szCs w:val="28"/>
        </w:rPr>
        <w:t>号）、《国家重点保护野生动物名录》（2</w:t>
      </w:r>
      <w:r>
        <w:rPr>
          <w:rFonts w:cs="Times New Roman"/>
          <w:szCs w:val="28"/>
        </w:rPr>
        <w:t>021</w:t>
      </w:r>
      <w:r>
        <w:rPr>
          <w:rFonts w:hint="eastAsia" w:cs="Times New Roman"/>
          <w:szCs w:val="28"/>
        </w:rPr>
        <w:t>年第</w:t>
      </w:r>
      <w:r>
        <w:rPr>
          <w:rFonts w:cs="Times New Roman"/>
          <w:szCs w:val="28"/>
        </w:rPr>
        <w:t>3</w:t>
      </w:r>
      <w:r>
        <w:rPr>
          <w:rFonts w:hint="eastAsia" w:cs="Times New Roman"/>
          <w:szCs w:val="28"/>
        </w:rPr>
        <w:t>号），湿地公园内存有国家</w:t>
      </w:r>
      <w:r>
        <w:rPr>
          <w:rFonts w:cs="Times New Roman"/>
          <w:szCs w:val="28"/>
        </w:rPr>
        <w:t>Ⅰ</w:t>
      </w:r>
      <w:r>
        <w:rPr>
          <w:rFonts w:hint="eastAsia" w:cs="Times New Roman"/>
          <w:szCs w:val="28"/>
        </w:rPr>
        <w:t>级重点保护野生植物1种，国家</w:t>
      </w:r>
      <w:r>
        <w:rPr>
          <w:rFonts w:cs="Times New Roman"/>
          <w:szCs w:val="28"/>
        </w:rPr>
        <w:t>Ⅱ</w:t>
      </w:r>
      <w:r>
        <w:rPr>
          <w:rFonts w:hint="eastAsia" w:cs="Times New Roman"/>
          <w:szCs w:val="28"/>
        </w:rPr>
        <w:t>级重点保护野生植物2种；国家</w:t>
      </w:r>
      <w:r>
        <w:rPr>
          <w:rFonts w:eastAsia="仿宋_GB2312" w:cs="Times New Roman"/>
          <w:szCs w:val="28"/>
        </w:rPr>
        <w:t>Ⅰ</w:t>
      </w:r>
      <w:r>
        <w:rPr>
          <w:rFonts w:hint="eastAsia" w:cs="Times New Roman"/>
          <w:szCs w:val="28"/>
        </w:rPr>
        <w:t>级重点保护野生动物1种，国家</w:t>
      </w:r>
      <w:r>
        <w:rPr>
          <w:rFonts w:cs="Times New Roman"/>
          <w:szCs w:val="28"/>
        </w:rPr>
        <w:t>Ⅱ</w:t>
      </w:r>
      <w:r>
        <w:rPr>
          <w:rFonts w:hint="eastAsia" w:cs="Times New Roman"/>
          <w:szCs w:val="28"/>
        </w:rPr>
        <w:t>级重点保护野生动物1</w:t>
      </w:r>
      <w:r>
        <w:rPr>
          <w:rFonts w:cs="Times New Roman"/>
          <w:szCs w:val="28"/>
        </w:rPr>
        <w:t>3</w:t>
      </w:r>
      <w:r>
        <w:rPr>
          <w:rFonts w:hint="eastAsia" w:cs="Times New Roman"/>
          <w:szCs w:val="28"/>
        </w:rPr>
        <w:t>种；中国特有动物17种；列入《国家保护的有益的或者有重要经济、科学研究价值的陆生野生动物名录》的两栖动物和鸟类和兽类达121种；湖南省重点保护动物102种；IUCN易危动物10种，IUCN近危动物1</w:t>
      </w:r>
      <w:r>
        <w:rPr>
          <w:rFonts w:cs="Times New Roman"/>
          <w:szCs w:val="28"/>
        </w:rPr>
        <w:t>1</w:t>
      </w:r>
      <w:r>
        <w:rPr>
          <w:rFonts w:hint="eastAsia" w:cs="Times New Roman"/>
          <w:szCs w:val="28"/>
        </w:rPr>
        <w:t>种。</w:t>
      </w:r>
    </w:p>
    <w:p>
      <w:pPr>
        <w:ind w:firstLine="560"/>
        <w:rPr>
          <w:rFonts w:cs="Times New Roman"/>
          <w:szCs w:val="28"/>
        </w:rPr>
      </w:pPr>
      <w:r>
        <w:rPr>
          <w:rFonts w:hint="eastAsia" w:cs="Times New Roman"/>
          <w:szCs w:val="28"/>
        </w:rPr>
        <w:t>综上所述，仙阳湖国家湿地公园内存有中国特有动物1</w:t>
      </w:r>
      <w:r>
        <w:rPr>
          <w:rFonts w:cs="Times New Roman"/>
          <w:szCs w:val="28"/>
        </w:rPr>
        <w:t>7</w:t>
      </w:r>
      <w:r>
        <w:rPr>
          <w:rFonts w:hint="eastAsia" w:cs="Times New Roman"/>
          <w:szCs w:val="28"/>
        </w:rPr>
        <w:t>种，国家</w:t>
      </w:r>
      <w:r>
        <w:rPr>
          <w:rFonts w:cs="Times New Roman"/>
          <w:szCs w:val="28"/>
        </w:rPr>
        <w:t>Ⅰ</w:t>
      </w:r>
      <w:r>
        <w:rPr>
          <w:rFonts w:hint="eastAsia" w:cs="Times New Roman"/>
          <w:szCs w:val="28"/>
        </w:rPr>
        <w:t>级重点保护动植物2种，国家</w:t>
      </w:r>
      <w:r>
        <w:rPr>
          <w:rFonts w:eastAsia="仿宋_GB2312" w:cs="Times New Roman"/>
          <w:szCs w:val="28"/>
        </w:rPr>
        <w:t>Ⅱ</w:t>
      </w:r>
      <w:r>
        <w:rPr>
          <w:rFonts w:hint="eastAsia" w:cs="Times New Roman"/>
          <w:szCs w:val="28"/>
        </w:rPr>
        <w:t>级重点保护动植物</w:t>
      </w:r>
      <w:r>
        <w:rPr>
          <w:rFonts w:cs="Times New Roman"/>
          <w:szCs w:val="28"/>
        </w:rPr>
        <w:t>1</w:t>
      </w:r>
      <w:r>
        <w:rPr>
          <w:rFonts w:hint="eastAsia" w:cs="Times New Roman"/>
          <w:szCs w:val="28"/>
        </w:rPr>
        <w:t>3种，其物种稀有性或独特性评价</w:t>
      </w:r>
      <w:r>
        <w:rPr>
          <w:rFonts w:hint="eastAsia" w:ascii="仿宋" w:hAnsi="仿宋" w:cs="仿宋"/>
          <w:szCs w:val="28"/>
        </w:rPr>
        <w:t>为“优良”。</w:t>
      </w:r>
    </w:p>
    <w:p>
      <w:pPr>
        <w:pStyle w:val="6"/>
        <w:numPr>
          <w:ilvl w:val="2"/>
          <w:numId w:val="20"/>
        </w:numPr>
      </w:pPr>
      <w:bookmarkStart w:id="172" w:name="_Toc113925477"/>
      <w:bookmarkStart w:id="173" w:name="_Toc113925729"/>
      <w:r>
        <w:rPr>
          <w:rFonts w:hint="eastAsia"/>
        </w:rPr>
        <w:t>生态区位重要性评价</w:t>
      </w:r>
      <w:bookmarkEnd w:id="172"/>
      <w:bookmarkEnd w:id="173"/>
    </w:p>
    <w:p>
      <w:pPr>
        <w:ind w:firstLine="560"/>
        <w:rPr>
          <w:rFonts w:cs="Times New Roman"/>
          <w:szCs w:val="28"/>
        </w:rPr>
      </w:pPr>
      <w:r>
        <w:rPr>
          <w:rFonts w:hint="eastAsia" w:cs="Times New Roman"/>
          <w:szCs w:val="28"/>
        </w:rPr>
        <w:t>仙阳湖国家湿地公园地处我国主体功能区划中的国家重点生态功能区中的武陵山区生物多样性与水土保持生态功能区，湿地面积达</w:t>
      </w:r>
      <w:r>
        <w:rPr>
          <w:rFonts w:cs="Times New Roman"/>
          <w:szCs w:val="28"/>
        </w:rPr>
        <w:t>4899.81</w:t>
      </w:r>
      <w:r>
        <w:rPr>
          <w:rFonts w:hint="eastAsia" w:cs="Times New Roman"/>
          <w:szCs w:val="28"/>
        </w:rPr>
        <w:t>公顷，是重点的生物多样性维护区域，是武陵山区生物多样性与水土保持生态功能区的重要保护节点，对维护澧水流域的生态安全和生物多样性方面能够发挥非常重要的作用。此外，仙阳湖国家湿地公园位于我国三大候鸟迁徙路线的中线主干上，其开阔的水域、良好的水质、多样的湿地生境以及周边众多可以取食的农田，将为迁徙候鸟在湘西北段提供重要的停歇和觅食场所，为繁殖鸣禽和水鸟及越冬雁鸭类提供良好的栖息地，是我国候鸟迁徙路线中线主干湖南段的重要节点。</w:t>
      </w:r>
    </w:p>
    <w:p>
      <w:pPr>
        <w:ind w:firstLine="560"/>
        <w:rPr>
          <w:rFonts w:cs="Times New Roman"/>
          <w:szCs w:val="28"/>
        </w:rPr>
      </w:pPr>
      <w:r>
        <w:rPr>
          <w:rFonts w:hint="eastAsia" w:cs="Times New Roman"/>
          <w:szCs w:val="28"/>
        </w:rPr>
        <w:t>综上所述，仙阳湖国家湿地公园地</w:t>
      </w:r>
      <w:r>
        <w:rPr>
          <w:rFonts w:hint="eastAsia" w:ascii="仿宋" w:hAnsi="仿宋" w:cs="仿宋"/>
          <w:szCs w:val="28"/>
        </w:rPr>
        <w:t>处“武陵山生物多样性保护与水土保持生态功能区”，</w:t>
      </w:r>
      <w:r>
        <w:rPr>
          <w:rFonts w:hint="eastAsia" w:cs="Times New Roman"/>
          <w:szCs w:val="28"/>
        </w:rPr>
        <w:t>湿地面积达</w:t>
      </w:r>
      <w:r>
        <w:rPr>
          <w:rFonts w:cs="Times New Roman"/>
          <w:szCs w:val="28"/>
        </w:rPr>
        <w:t>4899.81</w:t>
      </w:r>
      <w:r>
        <w:rPr>
          <w:rFonts w:hint="eastAsia" w:cs="Times New Roman"/>
          <w:szCs w:val="28"/>
        </w:rPr>
        <w:t>公顷，生态区位十分重要，生态区位重要性评</w:t>
      </w:r>
      <w:r>
        <w:rPr>
          <w:rFonts w:hint="eastAsia" w:ascii="仿宋" w:hAnsi="仿宋" w:cs="仿宋"/>
          <w:szCs w:val="28"/>
        </w:rPr>
        <w:t>价为“优良”。</w:t>
      </w:r>
    </w:p>
    <w:p>
      <w:pPr>
        <w:pStyle w:val="6"/>
        <w:numPr>
          <w:ilvl w:val="2"/>
          <w:numId w:val="20"/>
        </w:numPr>
      </w:pPr>
      <w:bookmarkStart w:id="174" w:name="_Toc113925478"/>
      <w:bookmarkStart w:id="175" w:name="_Toc113925730"/>
      <w:r>
        <w:rPr>
          <w:rFonts w:hint="eastAsia"/>
        </w:rPr>
        <w:t>科普宣教价值</w:t>
      </w:r>
      <w:bookmarkEnd w:id="174"/>
      <w:bookmarkEnd w:id="175"/>
    </w:p>
    <w:p>
      <w:pPr>
        <w:ind w:firstLine="560"/>
        <w:rPr>
          <w:rFonts w:cs="Times New Roman"/>
          <w:szCs w:val="28"/>
        </w:rPr>
      </w:pPr>
      <w:r>
        <w:rPr>
          <w:rFonts w:hint="eastAsia" w:cs="Times New Roman"/>
          <w:szCs w:val="28"/>
        </w:rPr>
        <w:t>仙阳湖国家湿地公园在湿地学、生态学、生物学、地学等方面有较高的研究价值，是研究澧水流域湿地生态安全、生物多样性保护、周边环境变化对湿地的影响及响应等方面的理想场所。湿地公园的景观资源、生物资源和文化资源在湿地知识科学普及和环境保护宣传教育等方面具有较高的价值。仙阳湖国家湿地公园管理处依托湿地资源优势，将湿地保护宣传教育工作作为重点工作之一，努力提升湿地公园周边居民及游客湿地保护意识。</w:t>
      </w:r>
      <w:r>
        <w:rPr>
          <w:rFonts w:hint="eastAsia" w:ascii="仿宋" w:hAnsi="仿宋" w:cs="仿宋"/>
          <w:szCs w:val="28"/>
        </w:rPr>
        <w:t>建设科普宣教广场，配备宣教设施；紧紧围绕湿地环境保护和科普知识，举办了“依法保护鸟类，建设美丽湖南”、“依法保护候鸟、守护绿色家园”、“保护鸟类资源，守护绿水青山”、“关注候鸟迁徙，维护生命共同体”为主题的四次大型爱鸟周宣传活动，同时以“世界湿地日”“世界水日”等宣传活动为契机，向周边乡镇、学校发放了湿地保护宣传资料，开展知识讲座；聘请专家团队，完成了《仙阳湖国家湿地公园导视标牌标识系统计划方案》以及一系列专项</w:t>
      </w:r>
      <w:r>
        <w:rPr>
          <w:rFonts w:hint="eastAsia" w:cs="Times New Roman"/>
          <w:szCs w:val="28"/>
        </w:rPr>
        <w:t>规划设计，完成了公园宣传画册及生物多样性画册、标识形象LOGO设计，制作了湿地公园宣传片。</w:t>
      </w:r>
    </w:p>
    <w:p>
      <w:pPr>
        <w:ind w:firstLine="560"/>
        <w:rPr>
          <w:rFonts w:cs="Times New Roman"/>
          <w:szCs w:val="28"/>
        </w:rPr>
      </w:pPr>
      <w:r>
        <w:rPr>
          <w:rFonts w:hint="eastAsia" w:cs="Times New Roman"/>
          <w:szCs w:val="28"/>
        </w:rPr>
        <w:t>综上所述，仙阳湖国家湿地公园在湿地知识科学普及和环境保护教育方面具有很高的价值，科普宣教价值</w:t>
      </w:r>
      <w:r>
        <w:rPr>
          <w:rFonts w:hint="eastAsia" w:ascii="仿宋" w:hAnsi="仿宋" w:cs="仿宋"/>
          <w:szCs w:val="28"/>
        </w:rPr>
        <w:t>评价为“优良”。</w:t>
      </w:r>
    </w:p>
    <w:p>
      <w:pPr>
        <w:pStyle w:val="6"/>
        <w:numPr>
          <w:ilvl w:val="2"/>
          <w:numId w:val="20"/>
        </w:numPr>
      </w:pPr>
      <w:bookmarkStart w:id="176" w:name="_Toc113925479"/>
      <w:bookmarkStart w:id="177" w:name="_Toc113925731"/>
      <w:r>
        <w:rPr>
          <w:rFonts w:hint="eastAsia"/>
        </w:rPr>
        <w:t>文化价值评价</w:t>
      </w:r>
      <w:bookmarkEnd w:id="176"/>
      <w:bookmarkEnd w:id="177"/>
    </w:p>
    <w:p>
      <w:pPr>
        <w:ind w:firstLine="560"/>
        <w:rPr>
          <w:rFonts w:cs="Times New Roman"/>
          <w:szCs w:val="28"/>
        </w:rPr>
      </w:pPr>
      <w:r>
        <w:rPr>
          <w:rFonts w:hint="eastAsia" w:cs="Times New Roman"/>
          <w:szCs w:val="28"/>
        </w:rPr>
        <w:t>石门县历史悠久，文化底蕴深厚。燕尔洞遗址、古代巴人千年悬棺和船棺遗址、皂市商代遗址、维新战国古城遗址、阳泉汉代凤凰城遗址等诸多历史古迹的发现，尤其是燕尔洞遗址的发现，是湖南省境内首次发现的古人类化石，考古学上，</w:t>
      </w:r>
      <w:r>
        <w:rPr>
          <w:rFonts w:hint="eastAsia" w:ascii="仿宋" w:hAnsi="仿宋" w:cs="仿宋"/>
          <w:szCs w:val="28"/>
        </w:rPr>
        <w:t>被命名为“石门人”，“石门人”的发现</w:t>
      </w:r>
      <w:r>
        <w:rPr>
          <w:rFonts w:hint="eastAsia" w:cs="Times New Roman"/>
          <w:szCs w:val="28"/>
        </w:rPr>
        <w:t>，填补了湖南省石器时代人类化石的空白。磨市古镇、皂市老街曾经的繁华，更是反映出仙阳湖深厚的文化底蕴，贺龙、曾庆轩、黄鳌、贾国湘、曾辅臣、肖克等革命先烈在仙阳湖开展的革命运动，将红色的革命精神洒在了仙阳湖的每一寸土地上。</w:t>
      </w:r>
      <w:r>
        <w:rPr>
          <w:rFonts w:hint="eastAsia"/>
        </w:rPr>
        <w:t>此外，当地还拥有丰富的茶文化、鱼文化。石门茶叶不仅生产历史悠久，规模宏大，而且孕育了影响深远的茶禅文化，是农业部确定的长江上中游特色和优质绿茶出口基地县，是湖南省唯一两度获评“中国名茶之乡”区县。石门县水资源丰富，鱼类众多，人们自古就以鱼类为食，并开始把鱼类作为猎取的对象，捕鱼工具最先是鱼鳔、弓箭，后来是网具。</w:t>
      </w:r>
    </w:p>
    <w:p>
      <w:pPr>
        <w:ind w:firstLine="560"/>
        <w:rPr>
          <w:rFonts w:cs="Times New Roman"/>
          <w:szCs w:val="28"/>
        </w:rPr>
      </w:pPr>
      <w:r>
        <w:rPr>
          <w:rFonts w:hint="eastAsia" w:cs="Times New Roman"/>
          <w:szCs w:val="28"/>
        </w:rPr>
        <w:t>综上所述，仙阳湖国家湿地公园有较高的湿地文化价值，保留有与湿地有关的众多非物质文化遗产。其文化价值</w:t>
      </w:r>
      <w:r>
        <w:rPr>
          <w:rFonts w:hint="eastAsia" w:ascii="仿宋" w:hAnsi="仿宋" w:cs="仿宋"/>
          <w:szCs w:val="28"/>
        </w:rPr>
        <w:t>评价为“中”。</w:t>
      </w:r>
    </w:p>
    <w:p>
      <w:pPr>
        <w:pStyle w:val="6"/>
        <w:numPr>
          <w:ilvl w:val="2"/>
          <w:numId w:val="20"/>
        </w:numPr>
      </w:pPr>
      <w:bookmarkStart w:id="178" w:name="_Toc113925480"/>
      <w:bookmarkStart w:id="179" w:name="_Toc113925732"/>
      <w:r>
        <w:rPr>
          <w:rFonts w:hint="eastAsia"/>
        </w:rPr>
        <w:t>湿地资源总体评价结果</w:t>
      </w:r>
      <w:bookmarkEnd w:id="178"/>
      <w:bookmarkEnd w:id="179"/>
    </w:p>
    <w:p>
      <w:pPr>
        <w:ind w:firstLine="560"/>
        <w:rPr>
          <w:rFonts w:cs="Times New Roman"/>
          <w:szCs w:val="28"/>
        </w:rPr>
      </w:pPr>
      <w:r>
        <w:rPr>
          <w:rFonts w:hint="eastAsia" w:cs="Times New Roman"/>
          <w:szCs w:val="28"/>
        </w:rPr>
        <w:t>综上所述，《国家湿地公园评估评分标准》（林湿综字〔2018〕2号）第1大</w:t>
      </w:r>
      <w:r>
        <w:rPr>
          <w:rFonts w:hint="eastAsia" w:ascii="仿宋" w:hAnsi="仿宋" w:cs="仿宋"/>
          <w:szCs w:val="28"/>
        </w:rPr>
        <w:t>项“资源本底条件”所列分</w:t>
      </w:r>
      <w:r>
        <w:rPr>
          <w:rFonts w:hint="eastAsia" w:cs="Times New Roman"/>
          <w:szCs w:val="28"/>
        </w:rPr>
        <w:t>项，包括湿地公园生态系统、物种多样性、物种稀有性或独有性、生态区位重要性、科普宣教价值、文化价值等6个方面对仙阳湖国家湿地公园湿地资源做出总体评价，仙阳湖国家湿地公园湿地资源</w:t>
      </w:r>
      <w:r>
        <w:rPr>
          <w:rFonts w:hint="eastAsia" w:ascii="仿宋" w:hAnsi="仿宋" w:cs="仿宋"/>
          <w:szCs w:val="28"/>
        </w:rPr>
        <w:t>总体评价为“优良”等级</w:t>
      </w:r>
      <w:r>
        <w:rPr>
          <w:rFonts w:hint="eastAsia" w:cs="Times New Roman"/>
          <w:szCs w:val="28"/>
        </w:rPr>
        <w:t>。</w:t>
      </w:r>
    </w:p>
    <w:p>
      <w:pPr>
        <w:pStyle w:val="4"/>
        <w:numPr>
          <w:ilvl w:val="0"/>
          <w:numId w:val="20"/>
        </w:numPr>
        <w:spacing w:after="395"/>
        <w:ind w:left="0" w:firstLine="0"/>
      </w:pPr>
      <w:bookmarkStart w:id="180" w:name="_Toc113925482"/>
      <w:bookmarkStart w:id="181" w:name="_Toc19187"/>
      <w:bookmarkStart w:id="182" w:name="_Toc113925734"/>
      <w:bookmarkStart w:id="183" w:name="_Toc1295"/>
      <w:bookmarkStart w:id="184" w:name="_Toc114084640"/>
      <w:bookmarkStart w:id="185" w:name="_Toc117114367"/>
      <w:r>
        <w:rPr>
          <w:rFonts w:hint="eastAsia"/>
        </w:rPr>
        <w:t>湿地公园建设情况</w:t>
      </w:r>
      <w:bookmarkEnd w:id="180"/>
      <w:bookmarkEnd w:id="181"/>
      <w:bookmarkEnd w:id="182"/>
      <w:bookmarkEnd w:id="183"/>
      <w:bookmarkEnd w:id="184"/>
      <w:bookmarkEnd w:id="185"/>
    </w:p>
    <w:p>
      <w:pPr>
        <w:pStyle w:val="5"/>
        <w:numPr>
          <w:ilvl w:val="1"/>
          <w:numId w:val="20"/>
        </w:numPr>
        <w:spacing w:before="197"/>
      </w:pPr>
      <w:bookmarkStart w:id="186" w:name="_Toc4382"/>
      <w:bookmarkStart w:id="187" w:name="_Toc114084641"/>
      <w:bookmarkStart w:id="188" w:name="_Toc12259"/>
      <w:bookmarkStart w:id="189" w:name="_Toc117114368"/>
      <w:bookmarkStart w:id="190" w:name="_Toc113925483"/>
      <w:bookmarkStart w:id="191" w:name="_Toc113925735"/>
      <w:r>
        <w:rPr>
          <w:rFonts w:hint="eastAsia"/>
        </w:rPr>
        <w:t>公园建设简述</w:t>
      </w:r>
      <w:bookmarkEnd w:id="186"/>
      <w:bookmarkEnd w:id="187"/>
      <w:bookmarkEnd w:id="188"/>
      <w:bookmarkEnd w:id="189"/>
    </w:p>
    <w:bookmarkEnd w:id="190"/>
    <w:bookmarkEnd w:id="191"/>
    <w:p>
      <w:pPr>
        <w:ind w:firstLine="560"/>
        <w:rPr>
          <w:rFonts w:cs="Times New Roman"/>
        </w:rPr>
      </w:pPr>
      <w:r>
        <w:rPr>
          <w:rFonts w:cs="Times New Roman"/>
        </w:rPr>
        <w:t>2014</w:t>
      </w:r>
      <w:r>
        <w:rPr>
          <w:rFonts w:hint="eastAsia" w:cs="Times New Roman"/>
        </w:rPr>
        <w:t>年1</w:t>
      </w:r>
      <w:r>
        <w:rPr>
          <w:rFonts w:cs="Times New Roman"/>
        </w:rPr>
        <w:t>2</w:t>
      </w:r>
      <w:r>
        <w:rPr>
          <w:rFonts w:hint="eastAsia" w:cs="Times New Roman"/>
        </w:rPr>
        <w:t>月，</w:t>
      </w:r>
      <w:r>
        <w:rPr>
          <w:rFonts w:hint="eastAsia" w:ascii="仿宋" w:hAnsi="仿宋" w:cs="仿宋"/>
        </w:rPr>
        <w:t>国家林业和草原局（原“国家林业局”，以下简称“国家林草局”）印</w:t>
      </w:r>
      <w:r>
        <w:rPr>
          <w:rFonts w:hint="eastAsia" w:cs="Times New Roman"/>
        </w:rPr>
        <w:t>发《国家林业局关于同意北京房山长沟泉水等1</w:t>
      </w:r>
      <w:r>
        <w:rPr>
          <w:rFonts w:cs="Times New Roman"/>
        </w:rPr>
        <w:t>40</w:t>
      </w:r>
      <w:r>
        <w:rPr>
          <w:rFonts w:hint="eastAsia" w:cs="Times New Roman"/>
        </w:rPr>
        <w:t>处湿地开展国家湿地公园试点工作的通知》（林湿发〔20</w:t>
      </w:r>
      <w:r>
        <w:rPr>
          <w:rFonts w:cs="Times New Roman"/>
        </w:rPr>
        <w:t>14</w:t>
      </w:r>
      <w:r>
        <w:rPr>
          <w:rFonts w:hint="eastAsia" w:cs="Times New Roman"/>
        </w:rPr>
        <w:t>〕2</w:t>
      </w:r>
      <w:r>
        <w:rPr>
          <w:rFonts w:cs="Times New Roman"/>
        </w:rPr>
        <w:t>05</w:t>
      </w:r>
      <w:r>
        <w:rPr>
          <w:rFonts w:hint="eastAsia" w:cs="Times New Roman"/>
        </w:rPr>
        <w:t>号），批准仙阳湖国家湿地公园进行国家湿地公园试点建设。试点建设</w:t>
      </w:r>
      <w:r>
        <w:rPr>
          <w:rFonts w:cs="Times New Roman"/>
        </w:rPr>
        <w:t>8</w:t>
      </w:r>
      <w:r>
        <w:rPr>
          <w:rFonts w:hint="eastAsia" w:cs="Times New Roman"/>
        </w:rPr>
        <w:t>年以来，仙阳湖国家湿地公园管理处按照总体规划和国家湿地公园试点建设的要求，开展了部分项目建设，在湿地公园保护与建设方面取得了一定的成就。20</w:t>
      </w:r>
      <w:r>
        <w:rPr>
          <w:rFonts w:cs="Times New Roman"/>
        </w:rPr>
        <w:t>20</w:t>
      </w:r>
      <w:r>
        <w:rPr>
          <w:rFonts w:hint="eastAsia" w:cs="Times New Roman"/>
        </w:rPr>
        <w:t>年12月，国家林草局下发《国家林业和草原局关于2020年国家湿地公园试点验收结果的通知》（林湿发〔</w:t>
      </w:r>
      <w:r>
        <w:rPr>
          <w:rFonts w:cs="Times New Roman"/>
        </w:rPr>
        <w:t>2020</w:t>
      </w:r>
      <w:r>
        <w:rPr>
          <w:rFonts w:hint="eastAsia" w:cs="Times New Roman"/>
        </w:rPr>
        <w:t>〕</w:t>
      </w:r>
      <w:r>
        <w:rPr>
          <w:rFonts w:cs="Times New Roman"/>
        </w:rPr>
        <w:t>11</w:t>
      </w:r>
      <w:r>
        <w:rPr>
          <w:rFonts w:hint="eastAsia" w:cs="Times New Roman"/>
        </w:rPr>
        <w:t>9号），仙阳湖国家湿地公园建设通过国家验收。</w:t>
      </w:r>
    </w:p>
    <w:p>
      <w:pPr>
        <w:ind w:firstLine="560"/>
        <w:rPr>
          <w:rFonts w:cs="Times New Roman"/>
        </w:rPr>
      </w:pPr>
      <w:r>
        <w:rPr>
          <w:rFonts w:hint="eastAsia" w:cs="Times New Roman"/>
        </w:rPr>
        <w:t>（1）湿地公园工程建设方面</w:t>
      </w:r>
    </w:p>
    <w:p>
      <w:pPr>
        <w:ind w:firstLine="560"/>
        <w:rPr>
          <w:rFonts w:cs="Times New Roman"/>
        </w:rPr>
      </w:pPr>
      <w:r>
        <w:rPr>
          <w:rFonts w:hint="eastAsia" w:cs="Times New Roman"/>
        </w:rPr>
        <w:t>仙阳湖国家湿地公园自</w:t>
      </w:r>
      <w:r>
        <w:rPr>
          <w:rFonts w:cs="Times New Roman"/>
        </w:rPr>
        <w:t>2014</w:t>
      </w:r>
      <w:r>
        <w:rPr>
          <w:rFonts w:hint="eastAsia" w:cs="Times New Roman"/>
        </w:rPr>
        <w:t>年12月试点建设开始，在湿地保护与恢复建设、管理基本条件及能力建设、科普宣教体系建设、湿地科研和监测建设、服务设施及基础设施建设、湿地合理利用及与社区关系协调等方面做了大量工作。</w:t>
      </w:r>
    </w:p>
    <w:p>
      <w:pPr>
        <w:ind w:firstLine="560"/>
        <w:rPr>
          <w:rFonts w:cs="Times New Roman"/>
        </w:rPr>
      </w:pPr>
      <w:r>
        <w:rPr>
          <w:rFonts w:hint="eastAsia" w:cs="Times New Roman"/>
        </w:rPr>
        <w:t>（2）湿地公园管理机构建设方面</w:t>
      </w:r>
    </w:p>
    <w:p>
      <w:pPr>
        <w:ind w:firstLine="560"/>
        <w:rPr>
          <w:rFonts w:cs="Times New Roman"/>
        </w:rPr>
      </w:pPr>
      <w:r>
        <w:rPr>
          <w:rFonts w:hint="eastAsia" w:cs="Times New Roman"/>
        </w:rPr>
        <w:t>石门县委、县政府高度重视湿地公园管理与保护工作，于2</w:t>
      </w:r>
      <w:r>
        <w:rPr>
          <w:rFonts w:cs="Times New Roman"/>
        </w:rPr>
        <w:t>015</w:t>
      </w:r>
      <w:r>
        <w:rPr>
          <w:rFonts w:hint="eastAsia" w:cs="Times New Roman"/>
        </w:rPr>
        <w:t>年先后印发了《关于撤销石门县皂市水库管理局设立湖南石门仙阳湖国家湿地公园管理处的通知》（石委〔2</w:t>
      </w:r>
      <w:r>
        <w:rPr>
          <w:rFonts w:cs="Times New Roman"/>
        </w:rPr>
        <w:t>015</w:t>
      </w:r>
      <w:r>
        <w:rPr>
          <w:rFonts w:hint="eastAsia" w:cs="Times New Roman"/>
        </w:rPr>
        <w:t>〕3号）、《湖南石门仙阳湖国家湿地公园管理处主要职责内设机构和人员编制规定的通知》（石编发〔2</w:t>
      </w:r>
      <w:r>
        <w:rPr>
          <w:rFonts w:cs="Times New Roman"/>
        </w:rPr>
        <w:t>015</w:t>
      </w:r>
      <w:r>
        <w:rPr>
          <w:rFonts w:hint="eastAsia" w:cs="Times New Roman"/>
        </w:rPr>
        <w:t>〕9号），成</w:t>
      </w:r>
      <w:r>
        <w:rPr>
          <w:rFonts w:hint="eastAsia" w:ascii="仿宋" w:hAnsi="仿宋" w:cs="仿宋"/>
        </w:rPr>
        <w:t>立了专门管理机构“湖南石门仙阳湖国家湿地公园管理处”</w:t>
      </w:r>
      <w:r>
        <w:rPr>
          <w:rFonts w:hint="eastAsia" w:cs="Times New Roman"/>
        </w:rPr>
        <w:t>，为正科级事业单位，经费由县财政划拨，编制13名，现有工作人员12人，内设4股1室，即办公室、科研监测股、资源保护股、资源开发股、科普宣教股，下设1个管理站，即维新管理站。</w:t>
      </w:r>
    </w:p>
    <w:p>
      <w:pPr>
        <w:pStyle w:val="5"/>
        <w:numPr>
          <w:ilvl w:val="1"/>
          <w:numId w:val="20"/>
        </w:numPr>
        <w:spacing w:before="197"/>
      </w:pPr>
      <w:bookmarkStart w:id="192" w:name="_Toc3229"/>
      <w:bookmarkStart w:id="193" w:name="_Toc114084642"/>
      <w:bookmarkStart w:id="194" w:name="_Toc117114369"/>
      <w:bookmarkStart w:id="195" w:name="_Toc15308"/>
      <w:bookmarkStart w:id="196" w:name="_Toc113925739"/>
      <w:bookmarkStart w:id="197" w:name="_Toc113925487"/>
      <w:r>
        <w:rPr>
          <w:rFonts w:hint="eastAsia"/>
        </w:rPr>
        <w:t>湿地公园建设情况</w:t>
      </w:r>
      <w:bookmarkEnd w:id="192"/>
      <w:bookmarkEnd w:id="193"/>
      <w:bookmarkEnd w:id="194"/>
      <w:bookmarkEnd w:id="195"/>
    </w:p>
    <w:p>
      <w:pPr>
        <w:pStyle w:val="6"/>
        <w:numPr>
          <w:ilvl w:val="2"/>
          <w:numId w:val="20"/>
        </w:numPr>
      </w:pPr>
      <w:r>
        <w:rPr>
          <w:rFonts w:hint="eastAsia"/>
        </w:rPr>
        <w:t>湿地保护与恢复实施情况</w:t>
      </w:r>
    </w:p>
    <w:p>
      <w:pPr>
        <w:ind w:firstLine="560"/>
        <w:rPr>
          <w:rFonts w:cs="Times New Roman"/>
        </w:rPr>
      </w:pPr>
      <w:r>
        <w:rPr>
          <w:rFonts w:hint="eastAsia"/>
        </w:rPr>
        <w:t>（1）</w:t>
      </w:r>
      <w:r>
        <w:rPr>
          <w:rFonts w:hint="eastAsia" w:cs="Times New Roman"/>
        </w:rPr>
        <w:t>保护措施落实较好，生态系统和动植物栖息环境得到明显改善和有效保护。</w:t>
      </w:r>
    </w:p>
    <w:p>
      <w:pPr>
        <w:ind w:firstLine="560"/>
        <w:rPr>
          <w:rFonts w:cs="Times New Roman"/>
        </w:rPr>
      </w:pPr>
      <w:r>
        <w:rPr>
          <w:rFonts w:hint="eastAsia" w:cs="Times New Roman"/>
        </w:rPr>
        <w:t>试点建设以来，县委、县政府先后出台了《湖南石门仙阳湖国家湿地公园总体规划》、《湖南石门仙阳湖国家湿地公园管理办法》、《石门县皂市水库（仙阳湖）河道非法钓船钓台及其他建（构）筑物专项整治工作方案》等政策文件，为园区发展与管理提供了制度保障和依据。</w:t>
      </w:r>
    </w:p>
    <w:p>
      <w:pPr>
        <w:ind w:firstLine="560"/>
        <w:rPr>
          <w:rFonts w:cs="Times New Roman"/>
        </w:rPr>
      </w:pPr>
      <w:r>
        <w:rPr>
          <w:rFonts w:hint="eastAsia" w:cs="Times New Roman"/>
        </w:rPr>
        <w:t>湿地公园实施园区畜禽退养、网箱清退、钓船钓台清除、挖沙船取缔等配套措施。共退出、退养了53家养殖场，拆除了15150平方米栏舍，清退了15户15358平方米的养殖网箱，关停了9家采砂场，清除了464个非法钓船钓台，拆除空心房37户4675平方米、违章建筑3户1200平方米、清除固体废弃物420吨。规范园区中华秋沙鸭栖息地保护和渔业生产秩序。在园区建成了120平方米鸟类监测站，设置了中华秋沙鸭3个观测保护点，在园区外上下游设置了2个保护点，用于保护和监测。在严格保护水源基础上，规划生态养殖。县畜牧水产事务中心通过测算水面养殖承载力的基础上，以</w:t>
      </w:r>
      <w:r>
        <w:rPr>
          <w:rFonts w:hint="eastAsia" w:ascii="仿宋" w:hAnsi="仿宋" w:cs="仿宋"/>
        </w:rPr>
        <w:t>“人放天养”的模</w:t>
      </w:r>
      <w:r>
        <w:rPr>
          <w:rFonts w:hint="eastAsia" w:cs="Times New Roman"/>
        </w:rPr>
        <w:t>式，严格细化投放品种，投放比例，投放数量及捕捞规模和时间，实现生态经济和社会效益的统一协调。通过一系列环境保护措施，动植物栖息环境明显改善，通过监测发现，仙阳湖野生动物种类增加了</w:t>
      </w:r>
      <w:r>
        <w:rPr>
          <w:rFonts w:cs="Times New Roman"/>
        </w:rPr>
        <w:t>14</w:t>
      </w:r>
      <w:r>
        <w:rPr>
          <w:rFonts w:hint="eastAsia" w:cs="Times New Roman"/>
        </w:rPr>
        <w:t>种。其中包括国家级I级保护鸟类中华秋沙鸭。</w:t>
      </w:r>
    </w:p>
    <w:p>
      <w:pPr>
        <w:pStyle w:val="16"/>
        <w:ind w:firstLine="0" w:firstLineChars="0"/>
      </w:pPr>
      <w:r>
        <w:rPr>
          <w:rFonts w:hint="eastAsia"/>
        </w:rPr>
        <w:drawing>
          <wp:inline distT="0" distB="0" distL="114300" distR="114300">
            <wp:extent cx="5647690" cy="4236720"/>
            <wp:effectExtent l="0" t="0" r="10160" b="11430"/>
            <wp:docPr id="11" name="图片 11" descr="2014年4月至2018年4月清退仙阳湖湖区网箱养鱼户15户拆除养殖网箱10358平方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014年4月至2018年4月清退仙阳湖湖区网箱养鱼户15户拆除养殖网箱10358平方米2"/>
                    <pic:cNvPicPr>
                      <a:picLocks noChangeAspect="1"/>
                    </pic:cNvPicPr>
                  </pic:nvPicPr>
                  <pic:blipFill>
                    <a:blip r:embed="rId31"/>
                    <a:stretch>
                      <a:fillRect/>
                    </a:stretch>
                  </pic:blipFill>
                  <pic:spPr>
                    <a:xfrm>
                      <a:off x="0" y="0"/>
                      <a:ext cx="5647690" cy="4236720"/>
                    </a:xfrm>
                    <a:prstGeom prst="rect">
                      <a:avLst/>
                    </a:prstGeom>
                  </pic:spPr>
                </pic:pic>
              </a:graphicData>
            </a:graphic>
          </wp:inline>
        </w:drawing>
      </w:r>
    </w:p>
    <w:p>
      <w:pPr>
        <w:pStyle w:val="16"/>
        <w:ind w:firstLine="0" w:firstLineChars="0"/>
        <w:jc w:val="center"/>
        <w:rPr>
          <w:rFonts w:ascii="黑体" w:hAnsi="黑体" w:eastAsia="黑体" w:cs="黑体"/>
          <w:sz w:val="24"/>
        </w:rPr>
      </w:pPr>
      <w:r>
        <w:rPr>
          <w:rFonts w:hint="eastAsia" w:ascii="黑体" w:hAnsi="黑体" w:eastAsia="黑体" w:cs="黑体"/>
          <w:sz w:val="24"/>
        </w:rPr>
        <w:t>图</w:t>
      </w:r>
      <w:r>
        <w:rPr>
          <w:rFonts w:eastAsia="黑体" w:cs="Times New Roman"/>
          <w:sz w:val="24"/>
        </w:rPr>
        <w:t>4-1</w:t>
      </w:r>
      <w:r>
        <w:rPr>
          <w:rFonts w:hint="eastAsia" w:ascii="黑体" w:hAnsi="黑体" w:eastAsia="黑体" w:cs="黑体"/>
          <w:sz w:val="24"/>
        </w:rPr>
        <w:t xml:space="preserve"> 保护措施现场照片</w:t>
      </w:r>
    </w:p>
    <w:p>
      <w:pPr>
        <w:ind w:firstLine="560"/>
        <w:rPr>
          <w:rFonts w:cs="Times New Roman"/>
        </w:rPr>
      </w:pPr>
      <w:r>
        <w:rPr>
          <w:rFonts w:hint="eastAsia" w:cs="Times New Roman"/>
        </w:rPr>
        <w:t>（2）湿地水资源得到充分保障，主体水质达到国家</w:t>
      </w:r>
      <w:r>
        <w:rPr>
          <w:rFonts w:hint="eastAsia" w:cs="Times New Roman"/>
        </w:rPr>
        <w:fldChar w:fldCharType="begin"/>
      </w:r>
      <w:r>
        <w:rPr>
          <w:rFonts w:hint="eastAsia" w:cs="Times New Roman"/>
        </w:rPr>
        <w:instrText xml:space="preserve"> = 2 \* ROMAN \* MERGEFORMAT </w:instrText>
      </w:r>
      <w:r>
        <w:rPr>
          <w:rFonts w:hint="eastAsia" w:cs="Times New Roman"/>
        </w:rPr>
        <w:fldChar w:fldCharType="separate"/>
      </w:r>
      <w:r>
        <w:t>II</w:t>
      </w:r>
      <w:r>
        <w:rPr>
          <w:rFonts w:hint="eastAsia" w:cs="Times New Roman"/>
        </w:rPr>
        <w:fldChar w:fldCharType="end"/>
      </w:r>
      <w:r>
        <w:rPr>
          <w:rFonts w:hint="eastAsia" w:cs="Times New Roman"/>
        </w:rPr>
        <w:t>类标准，水岸及景观保持自然状态。</w:t>
      </w:r>
    </w:p>
    <w:p>
      <w:pPr>
        <w:ind w:firstLine="560"/>
        <w:rPr>
          <w:rFonts w:cs="Times New Roman"/>
        </w:rPr>
      </w:pPr>
      <w:r>
        <w:rPr>
          <w:rFonts w:hint="eastAsia" w:cs="Times New Roman"/>
        </w:rPr>
        <w:t>仙阳湖水质清澈，碧波荡漾，雄伟壮观，有十里狭窄的绿色长廊，库岸山峰对峙，森林繁茂，青山倒影于绿水之中，相映成趣。泛舟湖上，凉风习习，令人心旷神怡，山水有机结合，为石门一绝。为了加强湿地水资源保障，县委、县政府加强仙阳湖生态水源调度。县委县政府责令县水利局、县生态环境保护领导小组、皂市水电站，按最小15%生态流量要求，科学确定生态水位，确保湿地公园生态需水。另外，通过畜禽退养、网箱清退、钓船钓台清除、挖沙船取缔、固体废弃物清运等配套措施。水文水质常年维持在健康状态，根据《湖南省石门县环境质量公报（2</w:t>
      </w:r>
      <w:r>
        <w:rPr>
          <w:rFonts w:cs="Times New Roman"/>
        </w:rPr>
        <w:t>022</w:t>
      </w:r>
      <w:r>
        <w:rPr>
          <w:rFonts w:hint="eastAsia" w:cs="Times New Roman"/>
        </w:rPr>
        <w:t>年3月）》，仙阳湖国家湿地公园水质均符合《地表水环境质量标准》（GB3838-2002）</w:t>
      </w:r>
      <w:r>
        <w:rPr>
          <w:rFonts w:eastAsia="仿宋_GB2312" w:cs="Times New Roman"/>
        </w:rPr>
        <w:t>Ⅱ</w:t>
      </w:r>
      <w:r>
        <w:rPr>
          <w:rFonts w:hint="eastAsia" w:cs="Times New Roman"/>
        </w:rPr>
        <w:t>类水质标准。环湖周边人为干扰因素得到有效遏制，土地资源管控成效显著，园区内部水岸及景观保持自然状态。</w:t>
      </w:r>
    </w:p>
    <w:p>
      <w:pPr>
        <w:ind w:firstLine="560"/>
        <w:rPr>
          <w:rFonts w:cs="Times New Roman"/>
        </w:rPr>
      </w:pPr>
      <w:r>
        <w:rPr>
          <w:rFonts w:hint="eastAsia" w:cs="Times New Roman"/>
        </w:rPr>
        <w:t>（3）湿地恢复和人工湿地工程科学合理，生态系统得到有效恢复，外来有害物种得到有效治理。</w:t>
      </w:r>
    </w:p>
    <w:p>
      <w:pPr>
        <w:ind w:firstLine="560"/>
        <w:rPr>
          <w:rFonts w:cs="Times New Roman"/>
        </w:rPr>
      </w:pPr>
      <w:r>
        <w:rPr>
          <w:rFonts w:hint="eastAsia" w:cs="Times New Roman"/>
        </w:rPr>
        <w:t>仙阳湖湿地主体部分是人工湿地，建成蓄水后导致中间相对较低区域变成了水域，无论是库尾还是恢复重建区，农业生产活动退出后，在马鞍岛、乐天岛等区域需要进行恢复重建。一是实施了库尾湿地恢复和水鸟栖息地恢复。在马鞍岛采取人工模拟自然生态手段，在45公顷裸地上恢复乡土树种群落，对杨树进行砍伐演替为多层次复杂的森林植被群落。同时对库尾0.3公顷、乐天岛100余公顷的杨树林进行改造，目前全部砍伐，在人工促进的帮助下，自然恢复荒芜杨树林湿地，恢复到湿地—森林复合生态系统。共修复鸟类栖息地233公顷。二是实施了植被带恢复。湿地公园030乡道沿线区域植被带裸露，局部水土流失严重，通过人工植被，造林恢复和修复裸露区域98.7公顷。三是推进了农村集镇面源污染污水集中处理项目。近年水库下闸蓄水以来，上游2000平方公里的农村面源污水污物没有达标排放，漂浮物在几年前漂流堆积严重，公园内水质有一定影响。为了解决这个难题，县委、县政府每年拨付50余万元资金，建立水质保护常态化机制，在磺厂大泉洞等局部废弃物严重区域设置拦污网，组织13人专门队伍，定期对公园及周边区域废弃物及水岸漂浮物进行捡拾打捞，减少污染物对水体污染，防止出现水质富营养化。对重点区域重点防治，特别是环湿地公园8个乡镇投资1.2亿元，全部建设集中污水处理厂，按环保要求，集中达标排放，确保良好水质水体景观不受影响。</w:t>
      </w:r>
    </w:p>
    <w:p>
      <w:pPr>
        <w:pStyle w:val="16"/>
        <w:spacing w:after="0"/>
        <w:ind w:firstLine="0" w:firstLineChars="0"/>
        <w:rPr>
          <w:rFonts w:cs="Times New Roman"/>
        </w:rPr>
      </w:pPr>
      <w:r>
        <w:rPr>
          <w:rFonts w:hint="eastAsia" w:cs="Times New Roman"/>
        </w:rPr>
        <w:drawing>
          <wp:inline distT="0" distB="0" distL="114300" distR="114300">
            <wp:extent cx="5634355" cy="2317115"/>
            <wp:effectExtent l="0" t="0" r="4445" b="6985"/>
            <wp:docPr id="36" name="图片 36" descr="修复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修复前1"/>
                    <pic:cNvPicPr>
                      <a:picLocks noChangeAspect="1"/>
                    </pic:cNvPicPr>
                  </pic:nvPicPr>
                  <pic:blipFill>
                    <a:blip r:embed="rId32"/>
                    <a:stretch>
                      <a:fillRect/>
                    </a:stretch>
                  </pic:blipFill>
                  <pic:spPr>
                    <a:xfrm>
                      <a:off x="0" y="0"/>
                      <a:ext cx="5634355" cy="2317115"/>
                    </a:xfrm>
                    <a:prstGeom prst="rect">
                      <a:avLst/>
                    </a:prstGeom>
                  </pic:spPr>
                </pic:pic>
              </a:graphicData>
            </a:graphic>
          </wp:inline>
        </w:drawing>
      </w:r>
    </w:p>
    <w:p>
      <w:pPr>
        <w:pStyle w:val="16"/>
        <w:ind w:firstLine="0" w:firstLineChars="0"/>
        <w:jc w:val="center"/>
        <w:rPr>
          <w:rFonts w:ascii="黑体" w:hAnsi="黑体" w:eastAsia="黑体" w:cs="黑体"/>
          <w:sz w:val="24"/>
        </w:rPr>
      </w:pPr>
      <w:r>
        <w:rPr>
          <w:rFonts w:hint="eastAsia" w:ascii="黑体" w:hAnsi="黑体" w:eastAsia="黑体" w:cs="黑体"/>
          <w:sz w:val="24"/>
        </w:rPr>
        <w:t>图</w:t>
      </w:r>
      <w:r>
        <w:rPr>
          <w:rFonts w:eastAsia="黑体" w:cs="Times New Roman"/>
          <w:sz w:val="24"/>
        </w:rPr>
        <w:t>4-</w:t>
      </w:r>
      <w:r>
        <w:rPr>
          <w:rFonts w:hint="eastAsia" w:eastAsia="黑体" w:cs="Times New Roman"/>
          <w:sz w:val="24"/>
        </w:rPr>
        <w:t>2</w:t>
      </w:r>
      <w:r>
        <w:rPr>
          <w:rFonts w:hint="eastAsia" w:ascii="黑体" w:hAnsi="黑体" w:eastAsia="黑体" w:cs="黑体"/>
          <w:sz w:val="24"/>
        </w:rPr>
        <w:t xml:space="preserve"> 生态修复现场照片</w:t>
      </w:r>
    </w:p>
    <w:p>
      <w:pPr>
        <w:pStyle w:val="6"/>
        <w:numPr>
          <w:ilvl w:val="2"/>
          <w:numId w:val="20"/>
        </w:numPr>
      </w:pPr>
      <w:r>
        <w:rPr>
          <w:rFonts w:hint="eastAsia"/>
        </w:rPr>
        <w:t>管理基本条件及能力建设情况</w:t>
      </w:r>
    </w:p>
    <w:p>
      <w:pPr>
        <w:ind w:firstLine="560"/>
        <w:rPr>
          <w:rFonts w:cs="Times New Roman"/>
        </w:rPr>
      </w:pPr>
      <w:r>
        <w:rPr>
          <w:rFonts w:hint="eastAsia"/>
        </w:rPr>
        <w:t>（1）</w:t>
      </w:r>
      <w:r>
        <w:rPr>
          <w:rFonts w:hint="eastAsia" w:cs="Times New Roman"/>
        </w:rPr>
        <w:t>公园规划范围边界清晰，土地所有权、使用权及管理权属关系明确，湿地保护、管理工作得到有效提升。</w:t>
      </w:r>
    </w:p>
    <w:p>
      <w:pPr>
        <w:ind w:firstLine="560"/>
        <w:rPr>
          <w:rFonts w:cs="Times New Roman"/>
        </w:rPr>
      </w:pPr>
      <w:r>
        <w:rPr>
          <w:rFonts w:hint="eastAsia" w:cs="Times New Roman"/>
        </w:rPr>
        <w:t>湿地公园四至界限清楚，土地权属清晰，土地使用、经营无争议，在湿地公园边界，出入重要路口，人口来往较多地点设立界碑6块，各功能区设立界桩400块，周边社区居民清楚公园边界线及功能区的分界线。明确湿地公园所有区域为生态保护红线，公园岸坡整治和周边道路及其他所有项目建设实行严格审批，禁止大开发，共抓大保护，确保湿地保护管理工作落到实处。</w:t>
      </w:r>
    </w:p>
    <w:p>
      <w:pPr>
        <w:pStyle w:val="16"/>
        <w:spacing w:after="0"/>
        <w:ind w:firstLine="0" w:firstLineChars="0"/>
      </w:pPr>
      <w:r>
        <w:rPr>
          <w:rFonts w:hint="eastAsia"/>
        </w:rPr>
        <w:drawing>
          <wp:inline distT="0" distB="0" distL="114300" distR="114300">
            <wp:extent cx="5627370" cy="3608705"/>
            <wp:effectExtent l="0" t="0" r="11430" b="10795"/>
            <wp:docPr id="37" name="图片 37" descr="1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1113"/>
                    <pic:cNvPicPr>
                      <a:picLocks noChangeAspect="1"/>
                    </pic:cNvPicPr>
                  </pic:nvPicPr>
                  <pic:blipFill>
                    <a:blip r:embed="rId33"/>
                    <a:stretch>
                      <a:fillRect/>
                    </a:stretch>
                  </pic:blipFill>
                  <pic:spPr>
                    <a:xfrm>
                      <a:off x="0" y="0"/>
                      <a:ext cx="5627370" cy="3608705"/>
                    </a:xfrm>
                    <a:prstGeom prst="rect">
                      <a:avLst/>
                    </a:prstGeom>
                  </pic:spPr>
                </pic:pic>
              </a:graphicData>
            </a:graphic>
          </wp:inline>
        </w:drawing>
      </w:r>
    </w:p>
    <w:p>
      <w:pPr>
        <w:pStyle w:val="16"/>
        <w:ind w:firstLine="0" w:firstLineChars="0"/>
        <w:jc w:val="center"/>
        <w:rPr>
          <w:rFonts w:ascii="黑体" w:hAnsi="黑体" w:eastAsia="黑体" w:cs="黑体"/>
          <w:sz w:val="24"/>
        </w:rPr>
      </w:pPr>
      <w:r>
        <w:rPr>
          <w:rFonts w:hint="eastAsia" w:ascii="黑体" w:hAnsi="黑体" w:eastAsia="黑体" w:cs="黑体"/>
          <w:sz w:val="24"/>
        </w:rPr>
        <w:t>图</w:t>
      </w:r>
      <w:r>
        <w:rPr>
          <w:rFonts w:eastAsia="黑体" w:cs="Times New Roman"/>
          <w:sz w:val="24"/>
        </w:rPr>
        <w:t>4-</w:t>
      </w:r>
      <w:r>
        <w:rPr>
          <w:rFonts w:hint="eastAsia" w:eastAsia="黑体" w:cs="Times New Roman"/>
          <w:sz w:val="24"/>
        </w:rPr>
        <w:t>3</w:t>
      </w:r>
      <w:r>
        <w:rPr>
          <w:rFonts w:hint="eastAsia" w:ascii="黑体" w:hAnsi="黑体" w:eastAsia="黑体" w:cs="黑体"/>
          <w:sz w:val="24"/>
        </w:rPr>
        <w:t xml:space="preserve"> 界碑界桩现场照片</w:t>
      </w:r>
    </w:p>
    <w:p>
      <w:pPr>
        <w:ind w:firstLine="560"/>
        <w:rPr>
          <w:rFonts w:cs="Times New Roman"/>
        </w:rPr>
      </w:pPr>
      <w:r>
        <w:rPr>
          <w:rFonts w:hint="eastAsia" w:cs="Times New Roman"/>
        </w:rPr>
        <w:t>（2）已建专门管理机构，人员稳定、专业较齐全，工作经费有保障，已制订完善规章制度体系并已得到很好执行。</w:t>
      </w:r>
    </w:p>
    <w:p>
      <w:pPr>
        <w:ind w:firstLine="560"/>
        <w:rPr>
          <w:rFonts w:cs="Times New Roman"/>
        </w:rPr>
      </w:pPr>
      <w:r>
        <w:rPr>
          <w:rFonts w:hint="eastAsia" w:cs="Times New Roman"/>
        </w:rPr>
        <w:t>县委、县政府非常重视湿地公园管理与保护工作，成立了专门机构</w:t>
      </w:r>
      <w:r>
        <w:rPr>
          <w:rFonts w:hint="eastAsia" w:ascii="仿宋" w:hAnsi="仿宋" w:cs="仿宋"/>
        </w:rPr>
        <w:t>“湖南石门仙阳湖国家湿地公园管理处”</w:t>
      </w:r>
      <w:r>
        <w:rPr>
          <w:rFonts w:hint="eastAsia" w:cs="Times New Roman"/>
        </w:rPr>
        <w:t>，为正科级事业单位，经费由县财政划拨，编制13名，现有工作人员12人，内设4股1室，即办公室、科研监测股、资源保护股、资源开发股、科普宣教股，下设1个管理站，即维新保护管理站。在编管理人员通过公招等形式确定。通过参加各类教育培训、学习交流，以及与院校合作，外派学习交流人员100余人次，提高了湿地公园的科学建设与保护能力。通过制定各类管理制度，落实管理制度，内部运行非常规范。</w:t>
      </w:r>
    </w:p>
    <w:p>
      <w:pPr>
        <w:ind w:firstLine="560"/>
        <w:rPr>
          <w:rFonts w:cs="Times New Roman"/>
        </w:rPr>
      </w:pPr>
      <w:r>
        <w:rPr>
          <w:rFonts w:hint="eastAsia" w:cs="Times New Roman"/>
        </w:rPr>
        <w:t>（</w:t>
      </w:r>
      <w:r>
        <w:rPr>
          <w:rFonts w:cs="Times New Roman"/>
        </w:rPr>
        <w:t>3</w:t>
      </w:r>
      <w:r>
        <w:rPr>
          <w:rFonts w:hint="eastAsia" w:cs="Times New Roman"/>
        </w:rPr>
        <w:t>）保护管理设施建设基本符合总体规划要求。</w:t>
      </w:r>
    </w:p>
    <w:p>
      <w:pPr>
        <w:ind w:firstLine="560"/>
        <w:rPr>
          <w:rFonts w:cs="Times New Roman"/>
        </w:rPr>
      </w:pPr>
      <w:r>
        <w:rPr>
          <w:rFonts w:hint="eastAsia" w:cs="Times New Roman"/>
        </w:rPr>
        <w:t>试点建设以来，县政府总投入8.52亿元用于湿地公园的生态建设，其中县财政直接投入1.13亿元（含经投公司投入），整合环保、水利、农业、畜牧等部门资金7.23亿元，国家项目投入0.16亿元。县财政的直接投入主要用于机关的正常运转，为了保证保护与恢复工作的维护，分别是每年人员工资78万元，管护巡护监测102万元，水面垃圾打捞50万元，船只运行及维修20万元，列入当年的财政运算，确保了公园的正常运行。</w:t>
      </w:r>
    </w:p>
    <w:p>
      <w:pPr>
        <w:pStyle w:val="6"/>
        <w:numPr>
          <w:ilvl w:val="2"/>
          <w:numId w:val="20"/>
        </w:numPr>
      </w:pPr>
      <w:r>
        <w:rPr>
          <w:rFonts w:hint="eastAsia"/>
        </w:rPr>
        <w:t>科研监测及科普宣教建设情况</w:t>
      </w:r>
    </w:p>
    <w:p>
      <w:pPr>
        <w:ind w:firstLine="560"/>
        <w:rPr>
          <w:rFonts w:cs="Times New Roman"/>
        </w:rPr>
      </w:pPr>
      <w:r>
        <w:rPr>
          <w:rFonts w:hint="eastAsia"/>
        </w:rPr>
        <w:t>（1）</w:t>
      </w:r>
      <w:r>
        <w:rPr>
          <w:rFonts w:hint="eastAsia" w:cs="Times New Roman"/>
        </w:rPr>
        <w:t>已配备基本监测设施，建立监测站点，开展相应调查监测工作，建立较完备技术档案，全面掌握湿地本底情况，调查监测结果对湿地保护有辅助作用。</w:t>
      </w:r>
    </w:p>
    <w:p>
      <w:pPr>
        <w:ind w:firstLine="560"/>
        <w:rPr>
          <w:rFonts w:cs="Times New Roman"/>
        </w:rPr>
      </w:pPr>
      <w:r>
        <w:rPr>
          <w:rFonts w:hint="eastAsia" w:cs="Times New Roman"/>
        </w:rPr>
        <w:t>管理处投资101.4万元添置了2艘监测船、2艘巡护船、1辆巡护监测车和</w:t>
      </w:r>
      <w:r>
        <w:rPr>
          <w:rFonts w:cs="Times New Roman"/>
        </w:rPr>
        <w:t>1</w:t>
      </w:r>
      <w:r>
        <w:rPr>
          <w:rFonts w:hint="eastAsia" w:cs="Times New Roman"/>
        </w:rPr>
        <w:t>辆巡护摩托车；投入268万元购置望远镜、数码相机、观鸟单筒镜、4套监控等一批生态环保监测设备；建成了120平方米的鸟类监测站，采购并安装18平方米的大型电子显示屏，并配备了科研监测、鸟类监控设备器材一套。与此同时，加强部门合作，县水利、环保部门在湿地公园设置专门的工作中队，做到互联互通、共建共享。由气象部门监测公园范围内的天气情况，由环保部门监测公园的水质和大气环境，由水利部门监测公园的水位、径流量等情况，所有数据每个月报送一次。设置了水质、鸟类、植物等各类监测点20个，开展了本底调查，有较完备的技术档案。先后与湖南农林勘察设计院，世界自然基金会、壶瓶山自然保护区等专业团队院所签订合作协议，指导开展了越冬候鸟、鱼类、外来物种、水环境等调查监测等工作建立了主要技术指标档案及分析报告，还投入30余万元建立了技术档案室，收集整理归类存档，监测水平上台阶。</w:t>
      </w:r>
    </w:p>
    <w:p>
      <w:pPr>
        <w:pStyle w:val="16"/>
        <w:spacing w:after="0"/>
        <w:ind w:firstLine="0" w:firstLineChars="0"/>
      </w:pPr>
      <w:r>
        <w:rPr>
          <w:rFonts w:hint="eastAsia"/>
        </w:rPr>
        <w:drawing>
          <wp:inline distT="0" distB="0" distL="114300" distR="114300">
            <wp:extent cx="5639435" cy="3173730"/>
            <wp:effectExtent l="0" t="0" r="18415" b="7620"/>
            <wp:docPr id="17" name="图片 17" descr="微信图片_20221121085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微信图片_20221121085300"/>
                    <pic:cNvPicPr>
                      <a:picLocks noChangeAspect="1"/>
                    </pic:cNvPicPr>
                  </pic:nvPicPr>
                  <pic:blipFill>
                    <a:blip r:embed="rId34"/>
                    <a:stretch>
                      <a:fillRect/>
                    </a:stretch>
                  </pic:blipFill>
                  <pic:spPr>
                    <a:xfrm>
                      <a:off x="0" y="0"/>
                      <a:ext cx="5639435" cy="3173730"/>
                    </a:xfrm>
                    <a:prstGeom prst="rect">
                      <a:avLst/>
                    </a:prstGeom>
                  </pic:spPr>
                </pic:pic>
              </a:graphicData>
            </a:graphic>
          </wp:inline>
        </w:drawing>
      </w:r>
    </w:p>
    <w:p>
      <w:pPr>
        <w:pStyle w:val="47"/>
        <w:numPr>
          <w:ilvl w:val="255"/>
          <w:numId w:val="0"/>
        </w:numPr>
        <w:jc w:val="center"/>
        <w:rPr>
          <w:rFonts w:eastAsia="黑体" w:cs="Times New Roman"/>
        </w:rPr>
      </w:pPr>
      <w:r>
        <w:rPr>
          <w:rFonts w:hint="eastAsia" w:eastAsia="黑体" w:cs="Times New Roman"/>
          <w:sz w:val="24"/>
        </w:rPr>
        <w:t xml:space="preserve">图4-4 </w:t>
      </w:r>
      <w:r>
        <w:rPr>
          <w:rFonts w:hint="eastAsia" w:ascii="黑体" w:hAnsi="黑体" w:eastAsia="黑体" w:cs="黑体"/>
          <w:sz w:val="24"/>
        </w:rPr>
        <w:t>越冬水鸟调查</w:t>
      </w:r>
    </w:p>
    <w:p>
      <w:pPr>
        <w:ind w:firstLine="560"/>
        <w:rPr>
          <w:rFonts w:cs="Times New Roman"/>
        </w:rPr>
      </w:pPr>
      <w:r>
        <w:rPr>
          <w:rFonts w:hint="eastAsia" w:cs="Times New Roman"/>
        </w:rPr>
        <w:t>（2）已配备基本科普宣教设施设备，宣传内容和宣传材料丰富，形式多样，展示、解说体系建设科学完备。</w:t>
      </w:r>
    </w:p>
    <w:p>
      <w:pPr>
        <w:ind w:firstLine="560"/>
        <w:rPr>
          <w:rFonts w:cs="Times New Roman"/>
        </w:rPr>
      </w:pPr>
      <w:r>
        <w:rPr>
          <w:rFonts w:hint="eastAsia" w:cs="Times New Roman"/>
        </w:rPr>
        <w:t>依据总规和初步设计，在维新区域新建150平方米的宣教中心，3条150米宣教长廊和2500平方米湿地科普宣教广场，设置大型公益广告牌20块，制作宣传、警示牌126块，布置各种宣传标识130块，构建了完善完整的宣教系统。</w:t>
      </w:r>
    </w:p>
    <w:p>
      <w:pPr>
        <w:ind w:firstLine="560"/>
        <w:rPr>
          <w:rFonts w:cs="Times New Roman"/>
        </w:rPr>
      </w:pPr>
      <w:r>
        <w:rPr>
          <w:rFonts w:hint="eastAsia" w:ascii="仿宋" w:hAnsi="仿宋" w:cs="仿宋"/>
        </w:rPr>
        <w:t>紧紧围绕湿地环境保护和科普知识开展社会宣传造势。先后举办了以“依法保护鸟类，建设美丽湖南”、“依法保护候鸟、守护绿色家园”、“保护鸟类资源，守护绿水青山”、“关注候鸟迁徙，维护生命共同体”为主题的四次大型爱鸟周宣传活动，同时还以“湿地日”、“世界水日”等宣传活动为契机，在湿地周边乡镇、学校发放宣传资料，开展知识讲座，提高</w:t>
      </w:r>
      <w:r>
        <w:rPr>
          <w:rFonts w:hint="eastAsia" w:cs="Times New Roman"/>
        </w:rPr>
        <w:t>群众对湿地认知，面对面，点对点的进行科普。</w:t>
      </w:r>
    </w:p>
    <w:p>
      <w:pPr>
        <w:ind w:firstLine="560"/>
        <w:rPr>
          <w:rFonts w:cs="Times New Roman"/>
        </w:rPr>
      </w:pPr>
      <w:r>
        <w:rPr>
          <w:rFonts w:hint="eastAsia" w:cs="Times New Roman"/>
        </w:rPr>
        <w:t>聘请专家团队，完成了《仙阳湖国家湿地公园导视标牌标识系统计划方案》以及一系列专项规划设计，完成了公园宣传画册及生物多样性画册、标识形象LOGO设计，制作了湿地公园宣传片。</w:t>
      </w:r>
    </w:p>
    <w:p>
      <w:pPr>
        <w:ind w:firstLine="560"/>
        <w:rPr>
          <w:rFonts w:cs="Times New Roman"/>
        </w:rPr>
      </w:pPr>
      <w:r>
        <w:rPr>
          <w:rFonts w:hint="eastAsia" w:cs="Times New Roman"/>
        </w:rPr>
        <w:t>组建了宣教队伍，开展宣传活动与科普知识培训，印刷了各类宣传折页，科普宣教手册等宣传资料，设计了公园标志的旗帜、杯子、衣服、帽子等创意产品。</w:t>
      </w:r>
    </w:p>
    <w:p>
      <w:pPr>
        <w:ind w:firstLine="560"/>
        <w:rPr>
          <w:rFonts w:cs="Times New Roman"/>
        </w:rPr>
      </w:pPr>
      <w:r>
        <w:rPr>
          <w:rFonts w:hint="eastAsia" w:cs="Times New Roman"/>
        </w:rPr>
        <w:t>分别在各级媒体宣传报道10多次，举办各类宣传活动15次，发放各类宣传折页和宣传单3万份。</w:t>
      </w:r>
    </w:p>
    <w:p>
      <w:pPr>
        <w:ind w:firstLine="560"/>
        <w:rPr>
          <w:rFonts w:cs="Times New Roman"/>
        </w:rPr>
      </w:pPr>
      <w:r>
        <w:rPr>
          <w:rFonts w:hint="eastAsia" w:cs="Times New Roman"/>
        </w:rPr>
        <w:t>（3）已开展针对性较强的湿地保护管理科研项目，对湿地保护管理工作的帮助已经显现。</w:t>
      </w:r>
    </w:p>
    <w:p>
      <w:pPr>
        <w:ind w:firstLine="560"/>
        <w:rPr>
          <w:rFonts w:cs="Times New Roman"/>
        </w:rPr>
      </w:pPr>
      <w:r>
        <w:rPr>
          <w:rFonts w:hint="eastAsia" w:cs="Times New Roman"/>
        </w:rPr>
        <w:t>自开展试点以来，在各级业务主管部门的指导下，县委、县政府高度重视生态环境治理及监测工作，先后与湖南农林勘察设计院、世界自然基金会、壶瓶山自然保护区等专业团队院所开展多项科学研究工作，主要包括水禽栖息地保护保育及恢复修复研究、仙阳湖绿色生态养殖研究等。管理处利用这些成果指导湿地保护管理，提升湿地公园的影响，成效非常明显。</w:t>
      </w:r>
    </w:p>
    <w:p>
      <w:pPr>
        <w:pStyle w:val="6"/>
        <w:numPr>
          <w:ilvl w:val="2"/>
          <w:numId w:val="20"/>
        </w:numPr>
      </w:pPr>
      <w:r>
        <w:rPr>
          <w:rFonts w:hint="eastAsia"/>
        </w:rPr>
        <w:t>合理利用与社区关系协调情况</w:t>
      </w:r>
    </w:p>
    <w:p>
      <w:pPr>
        <w:ind w:firstLine="560"/>
        <w:rPr>
          <w:rFonts w:cs="Times New Roman"/>
        </w:rPr>
      </w:pPr>
      <w:r>
        <w:rPr>
          <w:rFonts w:hint="eastAsia" w:cs="Times New Roman"/>
        </w:rPr>
        <w:t>（1）湿地利用方式完全符合湿地保护及可持续利用原则，能综合考虑湿地保护及湿地生态、经济等多种功能有效发挥。</w:t>
      </w:r>
    </w:p>
    <w:p>
      <w:pPr>
        <w:ind w:firstLine="560"/>
        <w:rPr>
          <w:rFonts w:cs="Times New Roman"/>
        </w:rPr>
      </w:pPr>
      <w:r>
        <w:rPr>
          <w:rFonts w:hint="eastAsia" w:cs="Times New Roman"/>
        </w:rPr>
        <w:t>湿地公园境内水域广阔，湿地景观多样，环境自然优美，水质良好，是旅游者的好去处，试点建设以来，先后到公园参观旅游的达到10万人次。湿地公园是垂钓爱好者的乐园，倡导文明垂钓生态垂钓是国内有影响力的垂钓天堂。加强公园周边环境卫生管理，聘请保洁员13名日常捡拾垃圾，聘请管护员10名日常进行巡护，既有利于湿地保护，又为当地群众提供了就业机会。引导公园周边村民种植生态产业，上山不打鸟、污水不下湖已经深入到当地农民的脑海。</w:t>
      </w:r>
    </w:p>
    <w:p>
      <w:pPr>
        <w:ind w:firstLine="560"/>
        <w:rPr>
          <w:rFonts w:cs="Times New Roman"/>
        </w:rPr>
      </w:pPr>
      <w:r>
        <w:rPr>
          <w:rFonts w:hint="eastAsia" w:cs="Times New Roman"/>
        </w:rPr>
        <w:t>（2）与社区关系协调良好，社区积极参与湿地保护，并从中获得相应利益。</w:t>
      </w:r>
    </w:p>
    <w:p>
      <w:pPr>
        <w:ind w:firstLine="560"/>
        <w:rPr>
          <w:rFonts w:cs="Times New Roman"/>
        </w:rPr>
      </w:pPr>
      <w:r>
        <w:rPr>
          <w:rFonts w:hint="eastAsia" w:cs="Times New Roman"/>
        </w:rPr>
        <w:t>以乡村振兴为契机，加快园区及周边经济转型。与园区周边39个村构建循环经济模式。与皂市镇天鹅山村建立百果园、采摘园，以乡村振兴为依据，通过改善生产条件，进行林业产业化经营。以丰富人文地理资源，开展以民俗民风为主题，以乡村生态旅游，增加周边居民的收入和获得感。以脱贫攻坚为抓手，构建共管共建的主体格局。精准扶贫，脱贫攻坚是近几年来三大攻坚战之一，园区的天鹅山村、万仞洞村是管理处的结对帮扶村，以湿地公园良好生态环境发展产业扶贫，每年人均稳定增收400元。另外，设置园区管护员、保洁员等工作岗位，基本以接纳周边贫困户为主，确保群众增收脱贫，公园与社区关系非常融洽。</w:t>
      </w:r>
    </w:p>
    <w:p>
      <w:pPr>
        <w:ind w:firstLine="560"/>
        <w:rPr>
          <w:rFonts w:cs="Times New Roman"/>
        </w:rPr>
      </w:pPr>
      <w:r>
        <w:rPr>
          <w:rFonts w:hint="eastAsia" w:cs="Times New Roman"/>
        </w:rPr>
        <w:t>（3）湿地利用方式充分结合了湿地美学价值和人文遗产价值的保护、挖掘与利用。</w:t>
      </w:r>
    </w:p>
    <w:p>
      <w:pPr>
        <w:ind w:firstLine="560"/>
        <w:rPr>
          <w:rFonts w:cs="Times New Roman"/>
        </w:rPr>
      </w:pPr>
      <w:r>
        <w:rPr>
          <w:rFonts w:hint="eastAsia" w:cs="Times New Roman"/>
        </w:rPr>
        <w:t>充分利用得天独厚的自然地理条件、区位优势、独特的生态系统类型、多样的自然景观，加强湿地公园的文化建设，展示文化精品，宣导文化理念，提升了参观者的认知度。景区规划生活污水人工湿地植物净化示范区，湿地植被具有层次感、多样性，在一定程序上与美学相结合。</w:t>
      </w:r>
    </w:p>
    <w:p>
      <w:pPr>
        <w:ind w:firstLine="560"/>
        <w:rPr>
          <w:rFonts w:cs="Times New Roman"/>
        </w:rPr>
      </w:pPr>
      <w:r>
        <w:rPr>
          <w:rFonts w:hint="eastAsia" w:cs="Times New Roman"/>
        </w:rPr>
        <w:t>湿地公园文化灿烂，闻名全国的古文化遗址有燕尔洞古人类遗址和皂市新石器时代遗址，淹没线以下分布了各类型的文物古迹共</w:t>
      </w:r>
      <w:r>
        <w:rPr>
          <w:rFonts w:cs="Times New Roman"/>
        </w:rPr>
        <w:t>30</w:t>
      </w:r>
      <w:r>
        <w:rPr>
          <w:rFonts w:hint="eastAsia" w:cs="Times New Roman"/>
        </w:rPr>
        <w:t>处，其中古遗址24处，古墓群（</w:t>
      </w:r>
      <w:r>
        <w:rPr>
          <w:rFonts w:cs="Times New Roman"/>
        </w:rPr>
        <w:t>葬</w:t>
      </w:r>
      <w:r>
        <w:rPr>
          <w:rFonts w:hint="eastAsia" w:cs="Times New Roman"/>
        </w:rPr>
        <w:t>）4处，古城址2处，对研究长江流域的文化历史有重要的价值。加强文化遗产的保护，采取了一系列保护措施，让社会各界更好地体味与认同其价值。</w:t>
      </w:r>
    </w:p>
    <w:p>
      <w:pPr>
        <w:ind w:firstLine="560"/>
        <w:rPr>
          <w:rFonts w:cs="Times New Roman"/>
        </w:rPr>
      </w:pPr>
      <w:r>
        <w:rPr>
          <w:rFonts w:hint="eastAsia" w:cs="Times New Roman"/>
        </w:rPr>
        <w:t>公园宣教中心充分挖掘民族文化，与社区联合组建文化艺术团体，常年开展观鸟、土家摆手舞、渔鼓等活动，提升了公园文化层面，增加了参观者的趣味性、观赏性和体验性。</w:t>
      </w:r>
    </w:p>
    <w:p>
      <w:pPr>
        <w:ind w:firstLine="0" w:firstLineChars="0"/>
        <w:rPr>
          <w:rFonts w:cs="Times New Roman"/>
        </w:rPr>
      </w:pPr>
      <w:r>
        <w:rPr>
          <w:rFonts w:hint="eastAsia" w:cs="Times New Roman"/>
        </w:rPr>
        <w:drawing>
          <wp:inline distT="0" distB="0" distL="114300" distR="114300">
            <wp:extent cx="5577840" cy="2903855"/>
            <wp:effectExtent l="0" t="0" r="3810" b="10795"/>
            <wp:docPr id="13" name="图片 13"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111"/>
                    <pic:cNvPicPr>
                      <a:picLocks noChangeAspect="1"/>
                    </pic:cNvPicPr>
                  </pic:nvPicPr>
                  <pic:blipFill>
                    <a:blip r:embed="rId35"/>
                    <a:srcRect b="19603"/>
                    <a:stretch>
                      <a:fillRect/>
                    </a:stretch>
                  </pic:blipFill>
                  <pic:spPr>
                    <a:xfrm>
                      <a:off x="0" y="0"/>
                      <a:ext cx="5577840" cy="2903855"/>
                    </a:xfrm>
                    <a:prstGeom prst="rect">
                      <a:avLst/>
                    </a:prstGeom>
                  </pic:spPr>
                </pic:pic>
              </a:graphicData>
            </a:graphic>
          </wp:inline>
        </w:drawing>
      </w:r>
    </w:p>
    <w:p>
      <w:pPr>
        <w:ind w:firstLine="0" w:firstLineChars="0"/>
        <w:jc w:val="center"/>
        <w:rPr>
          <w:rFonts w:eastAsia="黑体" w:cs="Times New Roman"/>
          <w:sz w:val="24"/>
        </w:rPr>
      </w:pPr>
      <w:r>
        <w:rPr>
          <w:rFonts w:eastAsia="黑体" w:cs="Times New Roman"/>
          <w:sz w:val="24"/>
        </w:rPr>
        <w:t>图4-</w:t>
      </w:r>
      <w:r>
        <w:rPr>
          <w:rFonts w:hint="eastAsia" w:eastAsia="黑体" w:cs="Times New Roman"/>
          <w:sz w:val="24"/>
        </w:rPr>
        <w:t>5</w:t>
      </w:r>
      <w:r>
        <w:rPr>
          <w:rFonts w:eastAsia="黑体" w:cs="Times New Roman"/>
          <w:sz w:val="24"/>
        </w:rPr>
        <w:t xml:space="preserve"> 观鸟</w:t>
      </w:r>
    </w:p>
    <w:p>
      <w:pPr>
        <w:pStyle w:val="6"/>
        <w:numPr>
          <w:ilvl w:val="2"/>
          <w:numId w:val="20"/>
        </w:numPr>
      </w:pPr>
      <w:r>
        <w:rPr>
          <w:rFonts w:hint="eastAsia"/>
        </w:rPr>
        <w:t>服务设施及基础设施建设情况</w:t>
      </w:r>
    </w:p>
    <w:p>
      <w:pPr>
        <w:ind w:firstLine="560"/>
        <w:rPr>
          <w:rFonts w:cs="Times New Roman"/>
        </w:rPr>
      </w:pPr>
      <w:r>
        <w:rPr>
          <w:rFonts w:hint="eastAsia" w:cs="Times New Roman"/>
        </w:rPr>
        <w:t>（1）访客中心、休闲、游览、接待等设施建设基本满足现阶段公园各项服务功能要求。</w:t>
      </w:r>
    </w:p>
    <w:p>
      <w:pPr>
        <w:ind w:firstLine="560"/>
        <w:rPr>
          <w:rFonts w:cs="Times New Roman"/>
        </w:rPr>
      </w:pPr>
      <w:r>
        <w:rPr>
          <w:rFonts w:hint="eastAsia" w:cs="Times New Roman"/>
        </w:rPr>
        <w:t>进入湿地公园设置了道路指向牌、展牌等标识标牌，公共汽车每20分钟一趟经过湿地公园，游客进出湿地公园方便、快捷。宣教中心、文化长廊、生态停车场、生态厕所、游船码头、生活污水净化示范点等，科普、休闲、游览、食宿接待等设施设备基本满足公园各项服务管理功能要求。</w:t>
      </w:r>
    </w:p>
    <w:p>
      <w:pPr>
        <w:ind w:firstLine="560"/>
        <w:rPr>
          <w:rFonts w:cs="Times New Roman"/>
        </w:rPr>
      </w:pPr>
      <w:r>
        <w:rPr>
          <w:rFonts w:hint="eastAsia" w:cs="Times New Roman"/>
        </w:rPr>
        <w:t>（2）道路、给排水、环保、供电、路标、消防等基础设施基本符合管理、服务要求。</w:t>
      </w:r>
    </w:p>
    <w:p>
      <w:pPr>
        <w:ind w:firstLine="560"/>
        <w:rPr>
          <w:rFonts w:cs="Times New Roman"/>
        </w:rPr>
      </w:pPr>
      <w:r>
        <w:rPr>
          <w:rFonts w:hint="eastAsia" w:cs="Times New Roman"/>
        </w:rPr>
        <w:t>近几年来，共投入资金1.1亿元，对园区周边道路进行升级改造，对进出湿地公园科普宣教中心的道路进行拓宽与美化，给排水、供电、路标、消防、电信等基础设施，严格按照国家规范，并整合周边生态环境，建设生态景点，进行规划设计与建设，为进出湿地公园和保护巡护工作提供了方便，基本符合管理与服务要求，同时符合生态、环保要求。</w:t>
      </w:r>
    </w:p>
    <w:p>
      <w:pPr>
        <w:pStyle w:val="5"/>
        <w:spacing w:before="197"/>
      </w:pPr>
      <w:bookmarkStart w:id="198" w:name="_Toc117114370"/>
      <w:r>
        <w:rPr>
          <w:rFonts w:hint="eastAsia"/>
        </w:rPr>
        <w:t>湿地公园建设存在的问题</w:t>
      </w:r>
      <w:bookmarkEnd w:id="198"/>
    </w:p>
    <w:p>
      <w:pPr>
        <w:pStyle w:val="6"/>
      </w:pPr>
      <w:r>
        <w:rPr>
          <w:rFonts w:hint="eastAsia"/>
        </w:rPr>
        <w:t>保护管理力度有待整合社区共管资源进一步提高</w:t>
      </w:r>
    </w:p>
    <w:p>
      <w:pPr>
        <w:ind w:firstLine="560"/>
      </w:pPr>
      <w:r>
        <w:rPr>
          <w:rFonts w:hint="eastAsia"/>
        </w:rPr>
        <w:t>湿地公园自建园以来，湿地公园的管理工作一直把生物资源保护工作放在第一位来抓，采取了一系列的保护措施，如修建保护管理站、巡护路等，但由于湿地公园跨8个乡镇，范围广难度大，盗伐、偷猎现象在湿地公园偶有发生，给湿地公园的原生性植被、野生动物、种群数量带来潜在威胁。必须进一步完善保护管理体系，在重要区域增设保护管理站，加大执法和管理力度，加大宣传力度，健全社区共管体系。</w:t>
      </w:r>
    </w:p>
    <w:p>
      <w:pPr>
        <w:ind w:firstLine="560"/>
      </w:pPr>
      <w:r>
        <w:rPr>
          <w:rFonts w:hint="eastAsia"/>
        </w:rPr>
        <w:t>同时，湿地公园内部分区域还未建设巡护道路，如晒谷堡、月光岛、马鞍岛等，无法进行有效巡护，现有巡护道路很多为泥土路面，一遇下雨，容易打滑跌倒，有些地段还靠近仙阳湖，有滑入湖内的潜在危险，如</w:t>
      </w:r>
      <w:r>
        <w:rPr>
          <w:rFonts w:hint="eastAsia" w:cs="Times New Roman"/>
          <w:szCs w:val="28"/>
        </w:rPr>
        <w:t>天鹅山村至车坊村段，</w:t>
      </w:r>
      <w:r>
        <w:rPr>
          <w:rFonts w:hint="eastAsia"/>
        </w:rPr>
        <w:t>必须对这些路段进行建设和改善。</w:t>
      </w:r>
    </w:p>
    <w:p>
      <w:pPr>
        <w:pStyle w:val="6"/>
      </w:pPr>
      <w:r>
        <w:rPr>
          <w:rFonts w:hint="eastAsia"/>
        </w:rPr>
        <w:t>专业技术人才缺乏，科研水平很难提高</w:t>
      </w:r>
    </w:p>
    <w:p>
      <w:pPr>
        <w:ind w:firstLine="560"/>
      </w:pPr>
      <w:r>
        <w:rPr>
          <w:rFonts w:hint="eastAsia"/>
        </w:rPr>
        <w:t>由于受经费、生活与工作条件等因素限制，湿地公园现有高级科研人员少，学科专业单一。现有工程技术人员大多为非林学相关专业转行而来，植物分类、生态学、有害生物防治、野生动物等专业人才缺乏，岗位培训和技术培训较少，湿地公园目前的科研工作处于较低的水平。因此，要根据现有人力资源配置，与高校建立合作关系，输送湿地公园人员定向培训，或者直接从高校引进所需专业技术人员。</w:t>
      </w:r>
    </w:p>
    <w:p>
      <w:pPr>
        <w:pStyle w:val="6"/>
      </w:pPr>
      <w:r>
        <w:rPr>
          <w:rFonts w:hint="eastAsia"/>
        </w:rPr>
        <w:t>社区居民生态保护意识有待进一步提升</w:t>
      </w:r>
    </w:p>
    <w:p>
      <w:pPr>
        <w:ind w:firstLine="560"/>
      </w:pPr>
      <w:r>
        <w:rPr>
          <w:rFonts w:hint="eastAsia"/>
        </w:rPr>
        <w:t>湿地公园地处湖南北部山区，地域条件不优越，经济发展水平低，社区居民靠山吃山的思想根深蒂固，生态保护意识不强，偶有上山伐木或下湖捕鱼等，破坏了森林或鱼类资源，影响了动物栖息。而保护管理资金来源渠道单一，一般都是通过申请中央预算内专项资金和地方政府给予补助。这种有限的资金不能充分发挥保护管理的功能，很有必要开源节流，与当地政府协调沟通，整合其他资金共同参与到湿地公园生态资源保护中来，为湿地公园的生态保护而共同积极努力。</w:t>
      </w:r>
    </w:p>
    <w:p>
      <w:pPr>
        <w:pStyle w:val="6"/>
      </w:pPr>
      <w:r>
        <w:rPr>
          <w:rFonts w:hint="eastAsia"/>
        </w:rPr>
        <w:t>保护与村民生产生活存在一定的矛盾</w:t>
      </w:r>
    </w:p>
    <w:p>
      <w:pPr>
        <w:ind w:firstLine="560"/>
      </w:pPr>
      <w:r>
        <w:rPr>
          <w:rFonts w:hint="eastAsia"/>
        </w:rPr>
        <w:t>湿地公园内及周边村民经济收入原来主要来源于网箱养鱼或拦网捕鱼，湿地公园建立后，全面清理了网箱养鱼，经济收入下降，村民对湿地公园的自然资源存在潜在的索取需求，如不帮助和引导他们发展生产，提高生活水平，将较难取得农村居民对湿地公园工作的理解和支持。同时，搞好社区共管建设，引导群众积极参与湿地公园建设。并开展多种经营与生态旅游建设，解决社区群众就业难题，提高生活水平。</w:t>
      </w:r>
    </w:p>
    <w:p>
      <w:pPr>
        <w:pStyle w:val="6"/>
      </w:pPr>
      <w:r>
        <w:rPr>
          <w:rFonts w:hint="eastAsia"/>
        </w:rPr>
        <w:t>湿地公园资源未得到合理利用</w:t>
      </w:r>
    </w:p>
    <w:p>
      <w:pPr>
        <w:ind w:firstLine="560"/>
      </w:pPr>
      <w:r>
        <w:rPr>
          <w:rFonts w:hint="eastAsia"/>
        </w:rPr>
        <w:t>20</w:t>
      </w:r>
      <w:r>
        <w:t>14</w:t>
      </w:r>
      <w:r>
        <w:rPr>
          <w:rFonts w:hint="eastAsia"/>
        </w:rPr>
        <w:t>版规划中的合理利用规划了旅游项目和景点规划，但由于资金有限，湿地公园管理处着重将把保护管理工作放在首要位置，优先建设保护管理基础设施，对旅游项目和景点项目投入不够。因此，在今后湿地公园的建设过程中，应正确处理好保护与发展的关系，合理利用湿地资源，搞好生态旅游资源的开发，提高自身造血功能，更好地为保护管理工作服务。</w:t>
      </w:r>
    </w:p>
    <w:p>
      <w:pPr>
        <w:pStyle w:val="6"/>
      </w:pPr>
      <w:r>
        <w:rPr>
          <w:rFonts w:hint="eastAsia"/>
        </w:rPr>
        <w:t>湿地公园管理用房和宣教设施亟待完善</w:t>
      </w:r>
    </w:p>
    <w:p>
      <w:pPr>
        <w:ind w:firstLine="560"/>
        <w:rPr>
          <w:rFonts w:cs="Times New Roman"/>
        </w:rPr>
      </w:pPr>
      <w:r>
        <w:rPr>
          <w:rFonts w:hint="eastAsia" w:cs="Times New Roman"/>
        </w:rPr>
        <w:t>原湖南石门仙阳湖国家湿地公园管理处办公楼年久老旧，经鉴定为危房已拆除。目前在皂市镇租房临时过渡，同时也给湿地公园的日常管理造成了一定影响，为加强管理和保护工作，需在湿地公园内择址新建。</w:t>
      </w:r>
    </w:p>
    <w:p>
      <w:pPr>
        <w:ind w:firstLine="560"/>
        <w:rPr>
          <w:rFonts w:cs="Times New Roman"/>
        </w:rPr>
      </w:pPr>
      <w:r>
        <w:rPr>
          <w:rFonts w:hint="eastAsia" w:cs="Times New Roman"/>
        </w:rPr>
        <w:t>2022年仙阳湖湿地列入国家重要湿地候选名录，成为湖南省在全国湿地的重要窗口，随着湿地公园的建设与发展，环境日益改善，现有的宣教中心和设施已经无法满足今后的发展，需进一步加强建设和投入。</w:t>
      </w:r>
    </w:p>
    <w:p>
      <w:pPr>
        <w:pStyle w:val="4"/>
        <w:numPr>
          <w:ilvl w:val="0"/>
          <w:numId w:val="20"/>
        </w:numPr>
        <w:spacing w:after="395"/>
        <w:ind w:left="0" w:firstLine="0"/>
      </w:pPr>
      <w:bookmarkStart w:id="199" w:name="_Toc5734"/>
      <w:bookmarkStart w:id="200" w:name="_Toc114084643"/>
      <w:bookmarkStart w:id="201" w:name="_Toc117114371"/>
      <w:bookmarkStart w:id="202" w:name="_Toc7998"/>
      <w:r>
        <w:rPr>
          <w:rFonts w:hint="eastAsia"/>
        </w:rPr>
        <w:t>总体布局</w:t>
      </w:r>
      <w:bookmarkEnd w:id="196"/>
      <w:bookmarkEnd w:id="197"/>
      <w:bookmarkEnd w:id="199"/>
      <w:bookmarkEnd w:id="200"/>
      <w:bookmarkEnd w:id="201"/>
      <w:bookmarkEnd w:id="202"/>
    </w:p>
    <w:p>
      <w:pPr>
        <w:pStyle w:val="5"/>
        <w:numPr>
          <w:ilvl w:val="1"/>
          <w:numId w:val="20"/>
        </w:numPr>
        <w:spacing w:before="197"/>
      </w:pPr>
      <w:bookmarkStart w:id="203" w:name="_Toc113925488"/>
      <w:bookmarkStart w:id="204" w:name="_Toc117114372"/>
      <w:bookmarkStart w:id="205" w:name="_Toc27547"/>
      <w:bookmarkStart w:id="206" w:name="_Toc113925740"/>
      <w:bookmarkStart w:id="207" w:name="_Toc16412"/>
      <w:bookmarkStart w:id="208" w:name="_Toc114084644"/>
      <w:r>
        <w:rPr>
          <w:rFonts w:hint="eastAsia"/>
        </w:rPr>
        <w:t>湿地公园性质、定位</w:t>
      </w:r>
      <w:bookmarkEnd w:id="203"/>
      <w:bookmarkEnd w:id="204"/>
      <w:bookmarkEnd w:id="205"/>
      <w:bookmarkEnd w:id="206"/>
      <w:bookmarkEnd w:id="207"/>
      <w:bookmarkEnd w:id="208"/>
      <w:r>
        <w:t xml:space="preserve"> </w:t>
      </w:r>
    </w:p>
    <w:p>
      <w:pPr>
        <w:pStyle w:val="6"/>
        <w:numPr>
          <w:ilvl w:val="2"/>
          <w:numId w:val="20"/>
        </w:numPr>
        <w:rPr>
          <w:rFonts w:ascii="黑体" w:hAnsi="黑体" w:cs="黑体"/>
          <w:bCs/>
          <w:szCs w:val="28"/>
        </w:rPr>
      </w:pPr>
      <w:bookmarkStart w:id="209" w:name="_Toc113925489"/>
      <w:bookmarkStart w:id="210" w:name="_Toc113925741"/>
      <w:r>
        <w:rPr>
          <w:rFonts w:hint="eastAsia" w:ascii="黑体" w:hAnsi="黑体" w:cs="黑体"/>
          <w:bCs/>
          <w:szCs w:val="28"/>
        </w:rPr>
        <w:t>湿地公园性质</w:t>
      </w:r>
      <w:bookmarkEnd w:id="209"/>
      <w:bookmarkEnd w:id="210"/>
    </w:p>
    <w:p>
      <w:pPr>
        <w:ind w:firstLine="560"/>
        <w:rPr>
          <w:rFonts w:ascii="仿宋" w:hAnsi="仿宋" w:cs="仿宋"/>
        </w:rPr>
      </w:pPr>
      <w:r>
        <w:rPr>
          <w:rFonts w:hint="eastAsia" w:ascii="仿宋" w:hAnsi="仿宋" w:cs="仿宋"/>
        </w:rPr>
        <w:t xml:space="preserve">以湘西北最大的人工湖泊仙阳湖为基础，以武陵山区典型的水域—森林复合生态系统为特色，以优质水源保护和水禽栖息地保护为核心，集保护保育、恢复、科普宣教、科研监测和可持续利用于一体的国家湿地公园。 </w:t>
      </w:r>
    </w:p>
    <w:p>
      <w:pPr>
        <w:pStyle w:val="6"/>
        <w:numPr>
          <w:ilvl w:val="2"/>
          <w:numId w:val="20"/>
        </w:numPr>
        <w:rPr>
          <w:rFonts w:ascii="黑体" w:hAnsi="黑体" w:cs="黑体"/>
          <w:bCs/>
          <w:szCs w:val="28"/>
        </w:rPr>
      </w:pPr>
      <w:bookmarkStart w:id="211" w:name="_Toc113925490"/>
      <w:bookmarkStart w:id="212" w:name="_Toc113925742"/>
      <w:r>
        <w:rPr>
          <w:rFonts w:hint="eastAsia" w:ascii="黑体" w:hAnsi="黑体" w:cs="黑体"/>
          <w:bCs/>
          <w:szCs w:val="28"/>
          <w:lang w:eastAsia="zh-CN"/>
        </w:rPr>
        <w:t>湿地</w:t>
      </w:r>
      <w:r>
        <w:rPr>
          <w:rFonts w:hint="eastAsia" w:ascii="黑体" w:hAnsi="黑体" w:cs="黑体"/>
          <w:bCs/>
          <w:szCs w:val="28"/>
        </w:rPr>
        <w:t>公园定位</w:t>
      </w:r>
      <w:bookmarkEnd w:id="211"/>
      <w:bookmarkEnd w:id="212"/>
    </w:p>
    <w:p>
      <w:pPr>
        <w:ind w:firstLine="560"/>
        <w:rPr>
          <w:rFonts w:cs="Times New Roman"/>
        </w:rPr>
      </w:pPr>
      <w:r>
        <w:rPr>
          <w:rFonts w:hint="eastAsia" w:cs="Times New Roman"/>
        </w:rPr>
        <w:t>（1）形象定位</w:t>
      </w:r>
    </w:p>
    <w:p>
      <w:pPr>
        <w:pStyle w:val="16"/>
        <w:ind w:firstLine="562"/>
        <w:rPr>
          <w:b/>
          <w:bCs/>
        </w:rPr>
      </w:pPr>
      <w:r>
        <w:rPr>
          <w:rFonts w:hint="eastAsia"/>
          <w:b/>
          <w:bCs/>
        </w:rPr>
        <w:t>青山绿水仙阳湖，和谐美丽湘西北。</w:t>
      </w:r>
    </w:p>
    <w:p>
      <w:pPr>
        <w:pStyle w:val="16"/>
        <w:ind w:firstLine="562"/>
        <w:rPr>
          <w:b/>
          <w:bCs/>
        </w:rPr>
      </w:pPr>
      <w:r>
        <w:rPr>
          <w:rFonts w:hint="eastAsia"/>
          <w:b/>
          <w:bCs/>
        </w:rPr>
        <w:t>风光自古总无限，莫羡桥边垂钓人。</w:t>
      </w:r>
    </w:p>
    <w:p>
      <w:pPr>
        <w:ind w:firstLine="560"/>
        <w:rPr>
          <w:rFonts w:cs="Times New Roman"/>
        </w:rPr>
      </w:pPr>
      <w:r>
        <w:rPr>
          <w:rFonts w:hint="eastAsia" w:cs="Times New Roman"/>
        </w:rPr>
        <w:t>（2）功能定位</w:t>
      </w:r>
    </w:p>
    <w:p>
      <w:pPr>
        <w:ind w:firstLine="560"/>
        <w:rPr>
          <w:rFonts w:cs="Times New Roman"/>
        </w:rPr>
      </w:pPr>
      <w:r>
        <w:rPr>
          <w:rFonts w:cs="Times New Roman"/>
        </w:rPr>
        <w:t>①</w:t>
      </w:r>
      <w:r>
        <w:rPr>
          <w:rFonts w:hint="eastAsia" w:cs="Times New Roman"/>
        </w:rPr>
        <w:t xml:space="preserve"> </w:t>
      </w:r>
      <w:r>
        <w:rPr>
          <w:rFonts w:cs="Times New Roman"/>
        </w:rPr>
        <w:t>生态保护功能</w:t>
      </w:r>
    </w:p>
    <w:p>
      <w:pPr>
        <w:numPr>
          <w:ilvl w:val="0"/>
          <w:numId w:val="21"/>
        </w:numPr>
        <w:ind w:left="0" w:firstLine="560"/>
        <w:rPr>
          <w:rFonts w:cs="Times New Roman"/>
        </w:rPr>
      </w:pPr>
      <w:r>
        <w:rPr>
          <w:rFonts w:hint="eastAsia" w:cs="Times New Roman"/>
        </w:rPr>
        <w:t>保护湘西北最大的人工湖泊湿地。</w:t>
      </w:r>
    </w:p>
    <w:p>
      <w:pPr>
        <w:numPr>
          <w:ilvl w:val="0"/>
          <w:numId w:val="21"/>
        </w:numPr>
        <w:ind w:left="0" w:firstLine="560"/>
        <w:rPr>
          <w:rFonts w:cs="Times New Roman"/>
        </w:rPr>
      </w:pPr>
      <w:r>
        <w:rPr>
          <w:rFonts w:hint="eastAsia" w:cs="Times New Roman"/>
        </w:rPr>
        <w:t>保护湘西北典型的水域—森林复合生态系统。</w:t>
      </w:r>
    </w:p>
    <w:p>
      <w:pPr>
        <w:numPr>
          <w:ilvl w:val="0"/>
          <w:numId w:val="21"/>
        </w:numPr>
        <w:ind w:left="0" w:firstLine="560"/>
        <w:rPr>
          <w:rFonts w:cs="Times New Roman"/>
        </w:rPr>
      </w:pPr>
      <w:r>
        <w:rPr>
          <w:rFonts w:hint="eastAsia" w:cs="Times New Roman"/>
        </w:rPr>
        <w:t>保护洞庭湖上游水源涵养区生态安全。</w:t>
      </w:r>
    </w:p>
    <w:p>
      <w:pPr>
        <w:numPr>
          <w:ilvl w:val="0"/>
          <w:numId w:val="21"/>
        </w:numPr>
        <w:ind w:left="0" w:firstLine="560"/>
        <w:rPr>
          <w:rFonts w:cs="Times New Roman"/>
        </w:rPr>
      </w:pPr>
      <w:r>
        <w:rPr>
          <w:rFonts w:hint="eastAsia" w:cs="Times New Roman"/>
        </w:rPr>
        <w:t>保护候鸟迁徙停歇地生态安全。</w:t>
      </w:r>
    </w:p>
    <w:p>
      <w:pPr>
        <w:ind w:firstLine="560"/>
        <w:rPr>
          <w:rFonts w:cs="Times New Roman"/>
        </w:rPr>
      </w:pPr>
      <w:r>
        <w:rPr>
          <w:rFonts w:cs="Times New Roman"/>
        </w:rPr>
        <w:t>②</w:t>
      </w:r>
      <w:r>
        <w:rPr>
          <w:rFonts w:hint="eastAsia" w:cs="Times New Roman"/>
        </w:rPr>
        <w:t xml:space="preserve"> </w:t>
      </w:r>
      <w:r>
        <w:rPr>
          <w:rFonts w:cs="Times New Roman"/>
        </w:rPr>
        <w:t>科普宣教功能</w:t>
      </w:r>
    </w:p>
    <w:p>
      <w:pPr>
        <w:numPr>
          <w:ilvl w:val="0"/>
          <w:numId w:val="21"/>
        </w:numPr>
        <w:ind w:left="0" w:firstLine="560"/>
        <w:rPr>
          <w:rFonts w:cs="Times New Roman"/>
        </w:rPr>
      </w:pPr>
      <w:r>
        <w:rPr>
          <w:rFonts w:hint="eastAsia" w:cs="Times New Roman"/>
        </w:rPr>
        <w:t>国家湿地公园主体功能区建设试点示范县宣教平台。</w:t>
      </w:r>
    </w:p>
    <w:p>
      <w:pPr>
        <w:numPr>
          <w:ilvl w:val="0"/>
          <w:numId w:val="21"/>
        </w:numPr>
        <w:ind w:left="0" w:firstLine="560"/>
        <w:rPr>
          <w:rFonts w:cs="Times New Roman"/>
        </w:rPr>
      </w:pPr>
      <w:r>
        <w:rPr>
          <w:rFonts w:hint="eastAsia" w:cs="Times New Roman"/>
        </w:rPr>
        <w:t>打造湖南省湿地科普宣教基地、湖南省中小学生研学营地。</w:t>
      </w:r>
    </w:p>
    <w:p>
      <w:pPr>
        <w:ind w:firstLine="560"/>
        <w:rPr>
          <w:rFonts w:cs="Times New Roman"/>
        </w:rPr>
      </w:pPr>
      <w:r>
        <w:rPr>
          <w:rFonts w:cs="Times New Roman"/>
        </w:rPr>
        <w:t>③</w:t>
      </w:r>
      <w:r>
        <w:rPr>
          <w:rFonts w:hint="eastAsia" w:cs="Times New Roman"/>
        </w:rPr>
        <w:t xml:space="preserve"> </w:t>
      </w:r>
      <w:r>
        <w:rPr>
          <w:rFonts w:cs="Times New Roman"/>
        </w:rPr>
        <w:t>生态旅游功能</w:t>
      </w:r>
    </w:p>
    <w:p>
      <w:pPr>
        <w:numPr>
          <w:ilvl w:val="0"/>
          <w:numId w:val="21"/>
        </w:numPr>
        <w:ind w:left="0" w:firstLine="560"/>
        <w:rPr>
          <w:rFonts w:cs="Times New Roman"/>
        </w:rPr>
      </w:pPr>
      <w:r>
        <w:rPr>
          <w:rFonts w:hint="eastAsia" w:cs="Times New Roman"/>
        </w:rPr>
        <w:t>中国湿地生态旅游地。</w:t>
      </w:r>
    </w:p>
    <w:p>
      <w:pPr>
        <w:numPr>
          <w:ilvl w:val="0"/>
          <w:numId w:val="21"/>
        </w:numPr>
        <w:ind w:left="0" w:firstLine="560"/>
        <w:rPr>
          <w:rFonts w:cs="Times New Roman"/>
        </w:rPr>
      </w:pPr>
      <w:r>
        <w:rPr>
          <w:rFonts w:hint="eastAsia" w:cs="Times New Roman"/>
        </w:rPr>
        <w:t>湘西北文化旅游目的地。</w:t>
      </w:r>
    </w:p>
    <w:p>
      <w:pPr>
        <w:numPr>
          <w:ilvl w:val="0"/>
          <w:numId w:val="21"/>
        </w:numPr>
        <w:ind w:left="0" w:firstLine="560"/>
        <w:rPr>
          <w:rFonts w:cs="Times New Roman"/>
        </w:rPr>
      </w:pPr>
      <w:r>
        <w:rPr>
          <w:rFonts w:hint="eastAsia" w:cs="Times New Roman"/>
        </w:rPr>
        <w:t>大湘西连接大三峡旅游圈重要节点。</w:t>
      </w:r>
    </w:p>
    <w:p>
      <w:pPr>
        <w:pStyle w:val="5"/>
        <w:numPr>
          <w:ilvl w:val="1"/>
          <w:numId w:val="20"/>
        </w:numPr>
        <w:spacing w:before="197"/>
      </w:pPr>
      <w:bookmarkStart w:id="213" w:name="_Toc117114373"/>
      <w:bookmarkStart w:id="214" w:name="_Toc114084645"/>
      <w:bookmarkStart w:id="215" w:name="_Toc31258"/>
      <w:bookmarkStart w:id="216" w:name="_Toc113925743"/>
      <w:bookmarkStart w:id="217" w:name="_Toc15797"/>
      <w:bookmarkStart w:id="218" w:name="_Toc113925491"/>
      <w:r>
        <w:rPr>
          <w:rFonts w:hint="eastAsia"/>
        </w:rPr>
        <w:t>规划指导思想</w:t>
      </w:r>
      <w:bookmarkEnd w:id="213"/>
      <w:bookmarkEnd w:id="214"/>
      <w:bookmarkEnd w:id="215"/>
      <w:bookmarkEnd w:id="216"/>
      <w:bookmarkEnd w:id="217"/>
      <w:bookmarkEnd w:id="218"/>
    </w:p>
    <w:p>
      <w:pPr>
        <w:ind w:firstLine="560"/>
        <w:rPr>
          <w:rFonts w:ascii="仿宋" w:hAnsi="仿宋" w:cs="仿宋"/>
        </w:rPr>
      </w:pPr>
      <w:r>
        <w:rPr>
          <w:rFonts w:hint="eastAsia" w:ascii="仿宋" w:hAnsi="仿宋" w:cs="仿宋"/>
        </w:rPr>
        <w:t>以党的二十大会议精神和习近平生态文明思想为指导，紧紧围绕统筹推进“五位一体”总体布局和协调推进“四个全面”战略布局，坚持“红色引领、绿色崛起”，牢固树立“创新、协调、绿色、开放、共享”的发展理念和“绿水青山就是金山银山”的生态观，从维护湿地公园生态安全、保护生物栖息地、防止湿地及其生物多样性衰退的基本要求着手，突出湿地公园的自然生态特征和地域景观特色，以保留原生湿地生态特征和自然风貌、保护湿地生态系统、改善湿地生态功能为根本目的，以恢复退化的湿地、科普宣教展示、科研监测为重点，依托湿地公园的景观资源和历史人文资源优势，适度开展湿地生态旅游，促进区域社会、经济和环境的可持续发展，实现人与自然和谐共生。</w:t>
      </w:r>
    </w:p>
    <w:p>
      <w:pPr>
        <w:pStyle w:val="5"/>
        <w:numPr>
          <w:ilvl w:val="1"/>
          <w:numId w:val="20"/>
        </w:numPr>
        <w:spacing w:before="197"/>
      </w:pPr>
      <w:bookmarkStart w:id="219" w:name="_Toc5642"/>
      <w:bookmarkStart w:id="220" w:name="_Toc15277"/>
      <w:bookmarkStart w:id="221" w:name="_Toc117114374"/>
      <w:bookmarkStart w:id="222" w:name="_Toc114084646"/>
      <w:bookmarkStart w:id="223" w:name="_Toc113925492"/>
      <w:bookmarkStart w:id="224" w:name="_Toc113925744"/>
      <w:r>
        <w:rPr>
          <w:rFonts w:hint="eastAsia"/>
        </w:rPr>
        <w:t>规划原则</w:t>
      </w:r>
      <w:bookmarkEnd w:id="219"/>
      <w:bookmarkEnd w:id="220"/>
      <w:bookmarkEnd w:id="221"/>
      <w:bookmarkEnd w:id="222"/>
      <w:bookmarkEnd w:id="223"/>
      <w:bookmarkEnd w:id="224"/>
    </w:p>
    <w:p>
      <w:pPr>
        <w:ind w:firstLine="560"/>
        <w:rPr>
          <w:rFonts w:ascii="仿宋" w:hAnsi="仿宋" w:cs="仿宋"/>
        </w:rPr>
      </w:pPr>
      <w:r>
        <w:rPr>
          <w:rFonts w:hint="eastAsia" w:ascii="仿宋" w:hAnsi="仿宋" w:cs="仿宋"/>
        </w:rPr>
        <w:t>仙阳湖国家湿地公园总体规划遵循“全面保护、科学恢复、合理利用、持续发展”的基本原则。</w:t>
      </w:r>
    </w:p>
    <w:p>
      <w:pPr>
        <w:pStyle w:val="6"/>
        <w:numPr>
          <w:ilvl w:val="2"/>
          <w:numId w:val="22"/>
        </w:numPr>
        <w:rPr>
          <w:rFonts w:ascii="黑体" w:hAnsi="黑体" w:cs="黑体"/>
          <w:bCs/>
          <w:szCs w:val="28"/>
        </w:rPr>
      </w:pPr>
      <w:bookmarkStart w:id="225" w:name="_Toc113925493"/>
      <w:bookmarkStart w:id="226" w:name="_Toc113925745"/>
      <w:r>
        <w:rPr>
          <w:rFonts w:hint="eastAsia" w:ascii="黑体" w:hAnsi="黑体" w:cs="黑体"/>
          <w:bCs/>
          <w:szCs w:val="28"/>
        </w:rPr>
        <w:t>遵循自然生态原则</w:t>
      </w:r>
      <w:bookmarkEnd w:id="225"/>
      <w:bookmarkEnd w:id="226"/>
    </w:p>
    <w:p>
      <w:pPr>
        <w:ind w:firstLine="560"/>
        <w:rPr>
          <w:rFonts w:ascii="仿宋" w:hAnsi="仿宋" w:cs="仿宋"/>
        </w:rPr>
      </w:pPr>
      <w:r>
        <w:rPr>
          <w:rFonts w:hint="eastAsia" w:ascii="仿宋" w:hAnsi="仿宋" w:cs="仿宋"/>
        </w:rPr>
        <w:t>仙阳湖国家湿地公园建设突出生态主题，恢复和维护湿地公园原生态特征和风貌，保护湿地生物多样性。从维护湿地生态系统结构和功能的完整性、保护水禽栖息地、防止湿地及其生物多样性衰退的基本要求出发，强调人与自然和谐，通过人工促进恢复退化的湿地，并与周围自然环境相协调，充分体现自然性原则。</w:t>
      </w:r>
    </w:p>
    <w:p>
      <w:pPr>
        <w:pStyle w:val="6"/>
        <w:numPr>
          <w:ilvl w:val="2"/>
          <w:numId w:val="23"/>
        </w:numPr>
        <w:rPr>
          <w:rFonts w:ascii="黑体" w:hAnsi="黑体" w:cs="黑体"/>
          <w:bCs/>
          <w:szCs w:val="28"/>
        </w:rPr>
      </w:pPr>
      <w:r>
        <w:rPr>
          <w:rFonts w:hint="eastAsia" w:ascii="黑体" w:hAnsi="黑体" w:cs="黑体"/>
          <w:bCs/>
          <w:szCs w:val="28"/>
        </w:rPr>
        <w:t>突出科普宣教原则</w:t>
      </w:r>
    </w:p>
    <w:p>
      <w:pPr>
        <w:ind w:firstLine="560"/>
        <w:rPr>
          <w:rFonts w:ascii="仿宋" w:hAnsi="仿宋" w:cs="仿宋"/>
        </w:rPr>
      </w:pPr>
      <w:r>
        <w:rPr>
          <w:rFonts w:hint="eastAsia" w:ascii="仿宋" w:hAnsi="仿宋" w:cs="仿宋"/>
        </w:rPr>
        <w:t>仙阳湖国家湿地公园是湿地科普教育的重要场地，应特别注重对公众环保意识的培养及湿地基础知识的普及，尤其是湿地多重生态功能的展示，让公众在娱乐中了解、感受湿地为人类提供的生态服务功能，增强公众保护湿地的自觉性，充分发挥湿地公园的科普宣教功能。</w:t>
      </w:r>
    </w:p>
    <w:p>
      <w:pPr>
        <w:pStyle w:val="6"/>
        <w:numPr>
          <w:ilvl w:val="2"/>
          <w:numId w:val="24"/>
        </w:numPr>
        <w:rPr>
          <w:rFonts w:ascii="黑体" w:hAnsi="黑体" w:cs="黑体"/>
          <w:bCs/>
          <w:szCs w:val="28"/>
        </w:rPr>
      </w:pPr>
      <w:bookmarkStart w:id="227" w:name="_Toc113925747"/>
      <w:bookmarkStart w:id="228" w:name="_Toc113925495"/>
      <w:r>
        <w:rPr>
          <w:rFonts w:hint="eastAsia" w:ascii="黑体" w:hAnsi="黑体" w:cs="黑体"/>
          <w:bCs/>
          <w:szCs w:val="28"/>
        </w:rPr>
        <w:t>体现地方特色原则</w:t>
      </w:r>
      <w:bookmarkEnd w:id="227"/>
      <w:bookmarkEnd w:id="228"/>
    </w:p>
    <w:p>
      <w:pPr>
        <w:ind w:firstLine="560"/>
        <w:rPr>
          <w:rFonts w:ascii="仿宋" w:hAnsi="仿宋" w:cs="仿宋"/>
        </w:rPr>
      </w:pPr>
      <w:r>
        <w:rPr>
          <w:rFonts w:hint="eastAsia" w:ascii="仿宋" w:hAnsi="仿宋" w:cs="仿宋"/>
        </w:rPr>
        <w:t>应充分突出湿地的自然生态特征和地域景观特色，在保护和保持巩固现有景观资源特色的基础上，规划突出利用湿地公园已有的景观、环境及人文历史、民俗文化等资源，进行功能布局，充分利用和体现湿地公园周边的历史文化、红色文化、农耕文化、茶文化、渔文化及资源特色，明确湿地公园的发展主题，突出个性，创出新意。</w:t>
      </w:r>
    </w:p>
    <w:p>
      <w:pPr>
        <w:widowControl/>
        <w:numPr>
          <w:ilvl w:val="2"/>
          <w:numId w:val="25"/>
        </w:numPr>
        <w:ind w:firstLineChars="0"/>
        <w:jc w:val="left"/>
        <w:outlineLvl w:val="2"/>
        <w:rPr>
          <w:rFonts w:ascii="黑体" w:hAnsi="黑体" w:eastAsia="黑体" w:cs="黑体"/>
          <w:szCs w:val="28"/>
        </w:rPr>
      </w:pPr>
      <w:r>
        <w:rPr>
          <w:rFonts w:ascii="黑体" w:hAnsi="黑体" w:eastAsia="黑体" w:cs="黑体"/>
          <w:color w:val="000000"/>
          <w:kern w:val="0"/>
          <w:szCs w:val="28"/>
          <w:lang w:bidi="ar"/>
        </w:rPr>
        <w:t xml:space="preserve">坚持科学性、全面性、合理性的原则 </w:t>
      </w:r>
    </w:p>
    <w:p>
      <w:pPr>
        <w:widowControl/>
        <w:ind w:firstLine="560"/>
        <w:jc w:val="left"/>
        <w:rPr>
          <w:szCs w:val="28"/>
        </w:rPr>
      </w:pPr>
      <w:r>
        <w:rPr>
          <w:rFonts w:ascii="仿宋" w:hAnsi="仿宋" w:cs="仿宋"/>
          <w:color w:val="000000"/>
          <w:kern w:val="0"/>
          <w:szCs w:val="28"/>
          <w:lang w:bidi="ar"/>
        </w:rPr>
        <w:t>根据</w:t>
      </w:r>
      <w:r>
        <w:rPr>
          <w:rFonts w:hint="eastAsia" w:ascii="仿宋" w:hAnsi="仿宋" w:cs="仿宋"/>
          <w:color w:val="000000"/>
          <w:kern w:val="0"/>
          <w:szCs w:val="28"/>
          <w:lang w:bidi="ar"/>
        </w:rPr>
        <w:t>仙阳湖国家湿地公园</w:t>
      </w:r>
      <w:r>
        <w:rPr>
          <w:rFonts w:ascii="仿宋" w:hAnsi="仿宋" w:cs="仿宋"/>
          <w:color w:val="000000"/>
          <w:kern w:val="0"/>
          <w:szCs w:val="28"/>
          <w:lang w:bidi="ar"/>
        </w:rPr>
        <w:t>内湿地资源的类型、保护对象的分布特点，充分</w:t>
      </w:r>
      <w:r>
        <w:rPr>
          <w:rFonts w:hint="eastAsia" w:ascii="仿宋" w:hAnsi="仿宋" w:cs="仿宋"/>
          <w:color w:val="000000"/>
          <w:kern w:val="0"/>
          <w:szCs w:val="28"/>
          <w:lang w:bidi="ar"/>
        </w:rPr>
        <w:t xml:space="preserve">展示湿地公园特色，因地制宜地科学布局项目，突出科学性、前瞻性和可操作性。规划项目与措施必须有利于保护自然生态系统，有利于保护和拯救珍稀濒危的野生动植物物种，有利于保护生物多样性和自然景观。 </w:t>
      </w:r>
    </w:p>
    <w:p>
      <w:pPr>
        <w:widowControl/>
        <w:ind w:firstLine="560"/>
        <w:rPr>
          <w:szCs w:val="28"/>
        </w:rPr>
      </w:pPr>
      <w:r>
        <w:rPr>
          <w:rFonts w:hint="eastAsia" w:ascii="仿宋" w:hAnsi="仿宋" w:cs="仿宋"/>
          <w:color w:val="000000"/>
          <w:kern w:val="0"/>
          <w:szCs w:val="28"/>
          <w:lang w:bidi="ar"/>
        </w:rPr>
        <w:t xml:space="preserve">根据仙阳湖国家湿地公园的发展需要，对公园的保护、恢复、科普宣教、科研监测、合理利用、社区发展与资源可持续利用等基础工程建设，以及管理体系、规章制度、经营开发等经营管理措施进行整体、全面和综合的规划。 </w:t>
      </w:r>
    </w:p>
    <w:p>
      <w:pPr>
        <w:widowControl/>
        <w:ind w:firstLine="560"/>
        <w:rPr>
          <w:szCs w:val="28"/>
        </w:rPr>
      </w:pPr>
      <w:r>
        <w:rPr>
          <w:rFonts w:hint="eastAsia" w:ascii="仿宋" w:hAnsi="仿宋" w:cs="仿宋"/>
          <w:color w:val="000000"/>
          <w:kern w:val="0"/>
          <w:szCs w:val="28"/>
          <w:lang w:bidi="ar"/>
        </w:rPr>
        <w:t xml:space="preserve">仙阳湖国家湿地公园的规划必须认真协调国家和地方关于湿地公园建设的有关法律情况和相关部门的规程及技术规范。 </w:t>
      </w:r>
    </w:p>
    <w:p>
      <w:pPr>
        <w:pStyle w:val="5"/>
        <w:numPr>
          <w:ilvl w:val="1"/>
          <w:numId w:val="26"/>
        </w:numPr>
        <w:spacing w:before="197"/>
      </w:pPr>
      <w:bookmarkStart w:id="229" w:name="_Toc10617"/>
      <w:bookmarkStart w:id="230" w:name="_Toc113925496"/>
      <w:bookmarkStart w:id="231" w:name="_Toc114084647"/>
      <w:bookmarkStart w:id="232" w:name="_Toc117114375"/>
      <w:bookmarkStart w:id="233" w:name="_Toc113925748"/>
      <w:bookmarkStart w:id="234" w:name="_Toc1172"/>
      <w:r>
        <w:rPr>
          <w:rFonts w:hint="eastAsia"/>
        </w:rPr>
        <w:t>规划依据</w:t>
      </w:r>
      <w:bookmarkEnd w:id="229"/>
      <w:bookmarkEnd w:id="230"/>
      <w:bookmarkEnd w:id="231"/>
      <w:bookmarkEnd w:id="232"/>
      <w:bookmarkEnd w:id="233"/>
      <w:bookmarkEnd w:id="234"/>
    </w:p>
    <w:p>
      <w:pPr>
        <w:pStyle w:val="6"/>
        <w:numPr>
          <w:ilvl w:val="2"/>
          <w:numId w:val="27"/>
        </w:numPr>
      </w:pPr>
      <w:bookmarkStart w:id="235" w:name="_Toc113925497"/>
      <w:bookmarkStart w:id="236" w:name="_Toc113925749"/>
      <w:r>
        <w:rPr>
          <w:rFonts w:hint="eastAsia"/>
        </w:rPr>
        <w:t>国家有关法律法规</w:t>
      </w:r>
      <w:bookmarkEnd w:id="235"/>
      <w:bookmarkEnd w:id="236"/>
    </w:p>
    <w:p>
      <w:pPr>
        <w:pStyle w:val="47"/>
        <w:numPr>
          <w:ilvl w:val="0"/>
          <w:numId w:val="28"/>
        </w:numPr>
        <w:ind w:firstLineChars="0"/>
        <w:rPr>
          <w:rFonts w:cs="Times New Roman"/>
        </w:rPr>
      </w:pPr>
      <w:r>
        <w:rPr>
          <w:rFonts w:hint="eastAsia" w:cs="Times New Roman"/>
        </w:rPr>
        <w:t>《中华人民共和国野生动物保护法》（2023年5月1日起</w:t>
      </w:r>
      <w:r>
        <w:rPr>
          <w:rFonts w:cs="Times New Roman"/>
        </w:rPr>
        <w:t>施行</w:t>
      </w:r>
      <w:r>
        <w:rPr>
          <w:rFonts w:hint="eastAsia" w:cs="Times New Roman"/>
        </w:rPr>
        <w:t>）；</w:t>
      </w:r>
    </w:p>
    <w:p>
      <w:pPr>
        <w:pStyle w:val="47"/>
        <w:numPr>
          <w:ilvl w:val="0"/>
          <w:numId w:val="28"/>
        </w:numPr>
        <w:ind w:firstLineChars="0"/>
        <w:rPr>
          <w:rFonts w:cs="Times New Roman"/>
          <w:kern w:val="21"/>
          <w:szCs w:val="28"/>
        </w:rPr>
      </w:pPr>
      <w:r>
        <w:rPr>
          <w:rFonts w:cs="Times New Roman"/>
        </w:rPr>
        <w:t>《中华人民共和国</w:t>
      </w:r>
      <w:r>
        <w:rPr>
          <w:rFonts w:hint="eastAsia" w:cs="Times New Roman"/>
        </w:rPr>
        <w:t>湿地保护</w:t>
      </w:r>
      <w:r>
        <w:rPr>
          <w:rFonts w:cs="Times New Roman"/>
        </w:rPr>
        <w:t>法》（2022</w:t>
      </w:r>
      <w:r>
        <w:rPr>
          <w:rFonts w:hint="eastAsia" w:cs="Times New Roman"/>
        </w:rPr>
        <w:t>年</w:t>
      </w:r>
      <w:r>
        <w:rPr>
          <w:rFonts w:cs="Times New Roman"/>
        </w:rPr>
        <w:t>6</w:t>
      </w:r>
      <w:r>
        <w:rPr>
          <w:rFonts w:hint="eastAsia" w:cs="Times New Roman"/>
        </w:rPr>
        <w:t>月</w:t>
      </w:r>
      <w:r>
        <w:rPr>
          <w:rFonts w:cs="Times New Roman"/>
        </w:rPr>
        <w:t>1</w:t>
      </w:r>
      <w:r>
        <w:rPr>
          <w:rFonts w:hint="eastAsia" w:cs="Times New Roman"/>
        </w:rPr>
        <w:t>日起施行）；</w:t>
      </w:r>
    </w:p>
    <w:p>
      <w:pPr>
        <w:pStyle w:val="47"/>
        <w:numPr>
          <w:ilvl w:val="0"/>
          <w:numId w:val="28"/>
        </w:numPr>
        <w:ind w:firstLineChars="0"/>
        <w:rPr>
          <w:rFonts w:cs="Times New Roman"/>
        </w:rPr>
      </w:pPr>
      <w:r>
        <w:rPr>
          <w:rFonts w:cs="Times New Roman"/>
          <w:kern w:val="21"/>
          <w:szCs w:val="28"/>
        </w:rPr>
        <w:t>《中华人民共和国森林法》（2019年修订）；</w:t>
      </w:r>
    </w:p>
    <w:p>
      <w:pPr>
        <w:pStyle w:val="47"/>
        <w:numPr>
          <w:ilvl w:val="0"/>
          <w:numId w:val="28"/>
        </w:numPr>
        <w:ind w:firstLineChars="0"/>
        <w:rPr>
          <w:rFonts w:cs="Times New Roman"/>
        </w:rPr>
      </w:pPr>
      <w:r>
        <w:rPr>
          <w:rFonts w:hint="eastAsia" w:cs="Times New Roman"/>
        </w:rPr>
        <w:t>《中华人民共和国土地管理法》（2019年</w:t>
      </w:r>
      <w:r>
        <w:rPr>
          <w:rFonts w:cs="Times New Roman"/>
        </w:rPr>
        <w:t>8</w:t>
      </w:r>
      <w:r>
        <w:rPr>
          <w:rFonts w:hint="eastAsia" w:cs="Times New Roman"/>
        </w:rPr>
        <w:t>月</w:t>
      </w:r>
      <w:r>
        <w:rPr>
          <w:rFonts w:cs="Times New Roman"/>
        </w:rPr>
        <w:t>2</w:t>
      </w:r>
      <w:r>
        <w:rPr>
          <w:rFonts w:hint="eastAsia" w:cs="Times New Roman"/>
        </w:rPr>
        <w:t>6日第三次修正）；</w:t>
      </w:r>
    </w:p>
    <w:p>
      <w:pPr>
        <w:pStyle w:val="47"/>
        <w:numPr>
          <w:ilvl w:val="0"/>
          <w:numId w:val="28"/>
        </w:numPr>
        <w:ind w:firstLineChars="0"/>
        <w:rPr>
          <w:rFonts w:cs="Times New Roman"/>
        </w:rPr>
      </w:pPr>
      <w:r>
        <w:rPr>
          <w:rFonts w:hint="eastAsia" w:cs="Times New Roman"/>
        </w:rPr>
        <w:t>《中华人民共和国环境影响评价法》（2018年</w:t>
      </w:r>
      <w:r>
        <w:rPr>
          <w:rFonts w:cs="Times New Roman"/>
        </w:rPr>
        <w:t>12</w:t>
      </w:r>
      <w:r>
        <w:rPr>
          <w:rFonts w:hint="eastAsia" w:cs="Times New Roman"/>
        </w:rPr>
        <w:t>月</w:t>
      </w:r>
      <w:r>
        <w:rPr>
          <w:rFonts w:cs="Times New Roman"/>
        </w:rPr>
        <w:t>29</w:t>
      </w:r>
      <w:r>
        <w:rPr>
          <w:rFonts w:hint="eastAsia" w:cs="Times New Roman"/>
        </w:rPr>
        <w:t>日第二次修正）；</w:t>
      </w:r>
    </w:p>
    <w:p>
      <w:pPr>
        <w:pStyle w:val="47"/>
        <w:numPr>
          <w:ilvl w:val="0"/>
          <w:numId w:val="28"/>
        </w:numPr>
        <w:ind w:firstLineChars="0"/>
        <w:rPr>
          <w:rFonts w:cs="Times New Roman"/>
        </w:rPr>
      </w:pPr>
      <w:r>
        <w:rPr>
          <w:rFonts w:hint="eastAsia" w:cs="Times New Roman"/>
        </w:rPr>
        <w:t>《中华人民共和国文物保护法》（2017年</w:t>
      </w:r>
      <w:r>
        <w:rPr>
          <w:rFonts w:cs="Times New Roman"/>
        </w:rPr>
        <w:t>11</w:t>
      </w:r>
      <w:r>
        <w:rPr>
          <w:rFonts w:hint="eastAsia" w:cs="Times New Roman"/>
        </w:rPr>
        <w:t>月</w:t>
      </w:r>
      <w:r>
        <w:rPr>
          <w:rFonts w:cs="Times New Roman"/>
        </w:rPr>
        <w:t>4</w:t>
      </w:r>
      <w:r>
        <w:rPr>
          <w:rFonts w:hint="eastAsia" w:cs="Times New Roman"/>
        </w:rPr>
        <w:t>日第五次修正）；</w:t>
      </w:r>
    </w:p>
    <w:p>
      <w:pPr>
        <w:pStyle w:val="47"/>
        <w:numPr>
          <w:ilvl w:val="0"/>
          <w:numId w:val="28"/>
        </w:numPr>
        <w:ind w:firstLineChars="0"/>
        <w:rPr>
          <w:rFonts w:cs="Times New Roman"/>
        </w:rPr>
      </w:pPr>
      <w:r>
        <w:rPr>
          <w:rFonts w:hint="eastAsia" w:cs="Times New Roman"/>
        </w:rPr>
        <w:t>《中华人民共和国水污染防治法》（2017年</w:t>
      </w:r>
      <w:r>
        <w:rPr>
          <w:rFonts w:cs="Times New Roman"/>
        </w:rPr>
        <w:t>6</w:t>
      </w:r>
      <w:r>
        <w:rPr>
          <w:rFonts w:hint="eastAsia" w:cs="Times New Roman"/>
        </w:rPr>
        <w:t>月</w:t>
      </w:r>
      <w:r>
        <w:rPr>
          <w:rFonts w:cs="Times New Roman"/>
        </w:rPr>
        <w:t>27</w:t>
      </w:r>
      <w:r>
        <w:rPr>
          <w:rFonts w:hint="eastAsia" w:cs="Times New Roman"/>
        </w:rPr>
        <w:t>日第二次修订）；</w:t>
      </w:r>
    </w:p>
    <w:p>
      <w:pPr>
        <w:pStyle w:val="47"/>
        <w:numPr>
          <w:ilvl w:val="0"/>
          <w:numId w:val="28"/>
        </w:numPr>
        <w:ind w:firstLineChars="0"/>
        <w:rPr>
          <w:rFonts w:cs="Times New Roman"/>
        </w:rPr>
      </w:pPr>
      <w:r>
        <w:rPr>
          <w:rFonts w:hint="eastAsia" w:cs="Times New Roman"/>
        </w:rPr>
        <w:t>《中华人民共和国水法》（2016年</w:t>
      </w:r>
      <w:r>
        <w:rPr>
          <w:rFonts w:cs="Times New Roman"/>
        </w:rPr>
        <w:t>7</w:t>
      </w:r>
      <w:r>
        <w:rPr>
          <w:rFonts w:hint="eastAsia" w:cs="Times New Roman"/>
        </w:rPr>
        <w:t>月</w:t>
      </w:r>
      <w:r>
        <w:rPr>
          <w:rFonts w:cs="Times New Roman"/>
        </w:rPr>
        <w:t>2</w:t>
      </w:r>
      <w:r>
        <w:rPr>
          <w:rFonts w:hint="eastAsia" w:cs="Times New Roman"/>
        </w:rPr>
        <w:t>日修改）；</w:t>
      </w:r>
    </w:p>
    <w:p>
      <w:pPr>
        <w:pStyle w:val="47"/>
        <w:numPr>
          <w:ilvl w:val="0"/>
          <w:numId w:val="28"/>
        </w:numPr>
        <w:ind w:firstLineChars="0"/>
        <w:rPr>
          <w:rFonts w:cs="Times New Roman"/>
        </w:rPr>
      </w:pPr>
      <w:r>
        <w:rPr>
          <w:rFonts w:hint="eastAsia" w:cs="Times New Roman"/>
        </w:rPr>
        <w:t>《中华人民共和国环境保护法》（2014年</w:t>
      </w:r>
      <w:r>
        <w:rPr>
          <w:rFonts w:cs="Times New Roman"/>
        </w:rPr>
        <w:t>4</w:t>
      </w:r>
      <w:r>
        <w:rPr>
          <w:rFonts w:hint="eastAsia" w:cs="Times New Roman"/>
        </w:rPr>
        <w:t>月</w:t>
      </w:r>
      <w:r>
        <w:rPr>
          <w:rFonts w:cs="Times New Roman"/>
        </w:rPr>
        <w:t>24</w:t>
      </w:r>
      <w:r>
        <w:rPr>
          <w:rFonts w:hint="eastAsia" w:cs="Times New Roman"/>
        </w:rPr>
        <w:t>日修订）；</w:t>
      </w:r>
    </w:p>
    <w:p>
      <w:pPr>
        <w:pStyle w:val="47"/>
        <w:numPr>
          <w:ilvl w:val="0"/>
          <w:numId w:val="28"/>
        </w:numPr>
        <w:ind w:firstLineChars="0"/>
        <w:rPr>
          <w:rFonts w:cs="Times New Roman"/>
        </w:rPr>
      </w:pPr>
      <w:r>
        <w:rPr>
          <w:rFonts w:hint="eastAsia" w:cs="Times New Roman"/>
        </w:rPr>
        <w:t>《中华人民共和国水土保持法》（2010年</w:t>
      </w:r>
      <w:r>
        <w:rPr>
          <w:rFonts w:cs="Times New Roman"/>
        </w:rPr>
        <w:t>12</w:t>
      </w:r>
      <w:r>
        <w:rPr>
          <w:rFonts w:hint="eastAsia" w:cs="Times New Roman"/>
        </w:rPr>
        <w:t>月</w:t>
      </w:r>
      <w:r>
        <w:rPr>
          <w:rFonts w:cs="Times New Roman"/>
        </w:rPr>
        <w:t>25</w:t>
      </w:r>
      <w:r>
        <w:rPr>
          <w:rFonts w:hint="eastAsia" w:cs="Times New Roman"/>
        </w:rPr>
        <w:t>日修订）；</w:t>
      </w:r>
    </w:p>
    <w:p>
      <w:pPr>
        <w:pStyle w:val="47"/>
        <w:numPr>
          <w:ilvl w:val="0"/>
          <w:numId w:val="28"/>
        </w:numPr>
        <w:ind w:firstLineChars="0"/>
        <w:rPr>
          <w:rFonts w:cs="Times New Roman"/>
        </w:rPr>
      </w:pPr>
      <w:r>
        <w:rPr>
          <w:rFonts w:hint="eastAsia" w:cs="Times New Roman"/>
        </w:rPr>
        <w:t>《中华人民共和国河道管理条例》（2017年10月07日第三次修正）；</w:t>
      </w:r>
    </w:p>
    <w:p>
      <w:pPr>
        <w:pStyle w:val="47"/>
        <w:numPr>
          <w:ilvl w:val="0"/>
          <w:numId w:val="28"/>
        </w:numPr>
        <w:ind w:firstLineChars="0"/>
        <w:rPr>
          <w:rFonts w:cs="Times New Roman"/>
        </w:rPr>
      </w:pPr>
      <w:r>
        <w:rPr>
          <w:rFonts w:cs="Times New Roman"/>
          <w:kern w:val="21"/>
          <w:szCs w:val="28"/>
        </w:rPr>
        <w:t>《建设项目环境保护管理条例》</w:t>
      </w:r>
      <w:r>
        <w:rPr>
          <w:rFonts w:hint="eastAsia" w:cs="Times New Roman"/>
          <w:kern w:val="21"/>
          <w:szCs w:val="28"/>
        </w:rPr>
        <w:t>（</w:t>
      </w:r>
      <w:r>
        <w:rPr>
          <w:rFonts w:cs="Times New Roman"/>
          <w:kern w:val="21"/>
          <w:szCs w:val="28"/>
        </w:rPr>
        <w:t>2017年7月16日国务院第682号令</w:t>
      </w:r>
      <w:r>
        <w:rPr>
          <w:rFonts w:hint="eastAsia" w:cs="Times New Roman"/>
          <w:kern w:val="21"/>
          <w:szCs w:val="28"/>
        </w:rPr>
        <w:t>）</w:t>
      </w:r>
      <w:r>
        <w:rPr>
          <w:rFonts w:cs="Times New Roman"/>
          <w:kern w:val="21"/>
          <w:szCs w:val="28"/>
        </w:rPr>
        <w:t>；</w:t>
      </w:r>
    </w:p>
    <w:p>
      <w:pPr>
        <w:pStyle w:val="47"/>
        <w:numPr>
          <w:ilvl w:val="0"/>
          <w:numId w:val="28"/>
        </w:numPr>
        <w:ind w:firstLineChars="0"/>
        <w:rPr>
          <w:rFonts w:cs="Times New Roman"/>
          <w:kern w:val="21"/>
          <w:szCs w:val="28"/>
        </w:rPr>
      </w:pPr>
      <w:r>
        <w:rPr>
          <w:rFonts w:cs="Times New Roman"/>
          <w:kern w:val="21"/>
          <w:szCs w:val="28"/>
        </w:rPr>
        <w:t>《中华人民共和国自然保护区条例》（2017年）；</w:t>
      </w:r>
    </w:p>
    <w:p>
      <w:pPr>
        <w:pStyle w:val="47"/>
        <w:numPr>
          <w:ilvl w:val="0"/>
          <w:numId w:val="28"/>
        </w:numPr>
        <w:ind w:firstLineChars="0"/>
        <w:rPr>
          <w:rFonts w:cs="Times New Roman"/>
        </w:rPr>
      </w:pPr>
      <w:r>
        <w:rPr>
          <w:rFonts w:hint="eastAsia" w:cs="Times New Roman"/>
        </w:rPr>
        <w:t>《中华人民共和国陆生野生动物保护实施条例》（2016年2月6日第二次修订）；</w:t>
      </w:r>
    </w:p>
    <w:p>
      <w:pPr>
        <w:pStyle w:val="47"/>
        <w:numPr>
          <w:ilvl w:val="0"/>
          <w:numId w:val="28"/>
        </w:numPr>
        <w:ind w:firstLineChars="0"/>
        <w:rPr>
          <w:rFonts w:cs="Times New Roman"/>
          <w:kern w:val="21"/>
          <w:szCs w:val="28"/>
        </w:rPr>
      </w:pPr>
      <w:r>
        <w:rPr>
          <w:rFonts w:hint="eastAsia" w:cs="Times New Roman"/>
        </w:rPr>
        <w:t>《中华人民共和国水生野生动物保护实施条例》（2013年12月7日第二次修订）；</w:t>
      </w:r>
    </w:p>
    <w:p>
      <w:pPr>
        <w:pStyle w:val="47"/>
        <w:numPr>
          <w:ilvl w:val="0"/>
          <w:numId w:val="28"/>
        </w:numPr>
        <w:ind w:firstLineChars="0"/>
        <w:rPr>
          <w:rFonts w:cs="Times New Roman"/>
          <w:kern w:val="21"/>
          <w:szCs w:val="28"/>
        </w:rPr>
      </w:pPr>
      <w:r>
        <w:rPr>
          <w:rFonts w:cs="Times New Roman"/>
          <w:kern w:val="21"/>
          <w:szCs w:val="28"/>
        </w:rPr>
        <w:t>《中华人民共和国水生动植物自然保护区管理办法》（2010年）</w:t>
      </w:r>
      <w:r>
        <w:rPr>
          <w:rFonts w:hint="eastAsia" w:cs="Times New Roman"/>
          <w:lang w:eastAsia="zh-CN"/>
        </w:rPr>
        <w:t>；</w:t>
      </w:r>
    </w:p>
    <w:p>
      <w:pPr>
        <w:pStyle w:val="47"/>
        <w:numPr>
          <w:ilvl w:val="0"/>
          <w:numId w:val="28"/>
        </w:numPr>
        <w:ind w:firstLineChars="0"/>
        <w:rPr>
          <w:rFonts w:cs="Times New Roman"/>
          <w:kern w:val="21"/>
          <w:szCs w:val="28"/>
        </w:rPr>
      </w:pPr>
      <w:r>
        <w:rPr>
          <w:rFonts w:hint="eastAsia" w:ascii="Times New Roman" w:hAnsi="Times New Roman" w:eastAsia="仿宋"/>
          <w:kern w:val="21"/>
          <w:sz w:val="28"/>
          <w:szCs w:val="28"/>
          <w:lang w:eastAsia="zh-CN"/>
        </w:rPr>
        <w:t>《国家级自然公园管理办法（试行）》</w:t>
      </w:r>
      <w:r>
        <w:rPr>
          <w:rFonts w:hint="eastAsia" w:cs="Times New Roman"/>
          <w:szCs w:val="28"/>
          <w:lang w:eastAsia="zh-CN"/>
        </w:rPr>
        <w:t>（</w:t>
      </w:r>
      <w:r>
        <w:rPr>
          <w:rFonts w:hint="eastAsia" w:cs="Times New Roman"/>
          <w:szCs w:val="28"/>
        </w:rPr>
        <w:t>林</w:t>
      </w:r>
      <w:r>
        <w:rPr>
          <w:rFonts w:hint="eastAsia" w:cs="Times New Roman"/>
          <w:szCs w:val="28"/>
          <w:lang w:eastAsia="zh-CN"/>
        </w:rPr>
        <w:t>保规</w:t>
      </w:r>
      <w:r>
        <w:rPr>
          <w:rFonts w:hint="eastAsia" w:cs="Times New Roman"/>
          <w:szCs w:val="28"/>
        </w:rPr>
        <w:t>〔202</w:t>
      </w:r>
      <w:r>
        <w:rPr>
          <w:rFonts w:hint="eastAsia" w:cs="Times New Roman"/>
          <w:szCs w:val="28"/>
          <w:lang w:val="en-US" w:eastAsia="zh-CN"/>
        </w:rPr>
        <w:t>3</w:t>
      </w:r>
      <w:r>
        <w:rPr>
          <w:rFonts w:hint="eastAsia" w:cs="Times New Roman"/>
          <w:szCs w:val="28"/>
        </w:rPr>
        <w:t>〕</w:t>
      </w:r>
      <w:r>
        <w:rPr>
          <w:rFonts w:hint="eastAsia" w:cs="Times New Roman"/>
          <w:szCs w:val="28"/>
          <w:lang w:val="en-US" w:eastAsia="zh-CN"/>
        </w:rPr>
        <w:t>4</w:t>
      </w:r>
      <w:r>
        <w:rPr>
          <w:rFonts w:hint="eastAsia" w:cs="Times New Roman"/>
          <w:szCs w:val="28"/>
        </w:rPr>
        <w:t>号</w:t>
      </w:r>
      <w:r>
        <w:rPr>
          <w:rFonts w:hint="eastAsia" w:cs="Times New Roman"/>
          <w:szCs w:val="28"/>
          <w:lang w:eastAsia="zh-CN"/>
        </w:rPr>
        <w:t>）。</w:t>
      </w:r>
    </w:p>
    <w:p>
      <w:pPr>
        <w:pStyle w:val="6"/>
        <w:numPr>
          <w:ilvl w:val="2"/>
          <w:numId w:val="27"/>
        </w:numPr>
      </w:pPr>
      <w:r>
        <w:rPr>
          <w:rFonts w:hint="eastAsia"/>
        </w:rPr>
        <w:t>地方有关法律法规</w:t>
      </w:r>
    </w:p>
    <w:p>
      <w:pPr>
        <w:pStyle w:val="47"/>
        <w:numPr>
          <w:ilvl w:val="0"/>
          <w:numId w:val="29"/>
        </w:numPr>
        <w:ind w:firstLineChars="0"/>
        <w:rPr>
          <w:rFonts w:cs="Times New Roman"/>
          <w:szCs w:val="28"/>
        </w:rPr>
      </w:pPr>
      <w:r>
        <w:rPr>
          <w:rFonts w:cs="Times New Roman"/>
          <w:szCs w:val="28"/>
        </w:rPr>
        <w:t>《湖南省湿地保护条例》</w:t>
      </w:r>
      <w:r>
        <w:rPr>
          <w:rFonts w:hint="eastAsia" w:cs="Times New Roman"/>
          <w:szCs w:val="28"/>
        </w:rPr>
        <w:t>（修正）</w:t>
      </w:r>
      <w:r>
        <w:rPr>
          <w:rFonts w:cs="Times New Roman"/>
          <w:szCs w:val="28"/>
        </w:rPr>
        <w:t>（</w:t>
      </w:r>
      <w:r>
        <w:rPr>
          <w:rFonts w:hint="eastAsia" w:cs="Times New Roman"/>
          <w:szCs w:val="28"/>
        </w:rPr>
        <w:t>湖南省人大，2021年</w:t>
      </w:r>
      <w:r>
        <w:rPr>
          <w:rFonts w:cs="Times New Roman"/>
          <w:szCs w:val="28"/>
        </w:rPr>
        <w:t>）；</w:t>
      </w:r>
    </w:p>
    <w:p>
      <w:pPr>
        <w:pStyle w:val="47"/>
        <w:numPr>
          <w:ilvl w:val="0"/>
          <w:numId w:val="29"/>
        </w:numPr>
        <w:ind w:firstLineChars="0"/>
        <w:rPr>
          <w:rFonts w:cs="Times New Roman"/>
          <w:szCs w:val="28"/>
        </w:rPr>
      </w:pPr>
      <w:r>
        <w:rPr>
          <w:rFonts w:cs="Times New Roman"/>
          <w:szCs w:val="28"/>
        </w:rPr>
        <w:t>《湖南省环境保护条例》（修正）（湖南省人大，201</w:t>
      </w:r>
      <w:r>
        <w:rPr>
          <w:rFonts w:hint="eastAsia" w:cs="Times New Roman"/>
          <w:szCs w:val="28"/>
        </w:rPr>
        <w:t>9年</w:t>
      </w:r>
      <w:r>
        <w:rPr>
          <w:rFonts w:cs="Times New Roman"/>
          <w:szCs w:val="28"/>
        </w:rPr>
        <w:t>）；</w:t>
      </w:r>
    </w:p>
    <w:p>
      <w:pPr>
        <w:pStyle w:val="47"/>
        <w:numPr>
          <w:ilvl w:val="0"/>
          <w:numId w:val="29"/>
        </w:numPr>
        <w:ind w:firstLineChars="0"/>
        <w:rPr>
          <w:rFonts w:cs="Times New Roman"/>
          <w:szCs w:val="28"/>
        </w:rPr>
      </w:pPr>
      <w:r>
        <w:rPr>
          <w:rFonts w:cs="Times New Roman"/>
          <w:szCs w:val="28"/>
        </w:rPr>
        <w:t>《湖南省实施（中华人民共和国水土保持法）办法》（</w:t>
      </w:r>
      <w:r>
        <w:rPr>
          <w:rFonts w:hint="eastAsia" w:cs="Times New Roman"/>
          <w:szCs w:val="28"/>
        </w:rPr>
        <w:t>湖南省人大，</w:t>
      </w:r>
      <w:r>
        <w:rPr>
          <w:rFonts w:cs="Times New Roman"/>
          <w:szCs w:val="28"/>
        </w:rPr>
        <w:t>2013</w:t>
      </w:r>
      <w:r>
        <w:rPr>
          <w:rFonts w:hint="eastAsia" w:cs="Times New Roman"/>
          <w:szCs w:val="28"/>
        </w:rPr>
        <w:t>年</w:t>
      </w:r>
      <w:r>
        <w:rPr>
          <w:rFonts w:cs="Times New Roman"/>
          <w:szCs w:val="28"/>
        </w:rPr>
        <w:t>）；</w:t>
      </w:r>
    </w:p>
    <w:p>
      <w:pPr>
        <w:pStyle w:val="47"/>
        <w:numPr>
          <w:ilvl w:val="0"/>
          <w:numId w:val="29"/>
        </w:numPr>
        <w:ind w:firstLineChars="0"/>
        <w:rPr>
          <w:rFonts w:cs="Times New Roman"/>
          <w:szCs w:val="28"/>
        </w:rPr>
      </w:pPr>
      <w:r>
        <w:rPr>
          <w:rFonts w:cs="Times New Roman"/>
          <w:szCs w:val="28"/>
        </w:rPr>
        <w:t>《湖南省野生动植物资源保护条例》（第四次修订）（湖南省人大，2010</w:t>
      </w:r>
      <w:r>
        <w:rPr>
          <w:rFonts w:hint="eastAsia" w:cs="Times New Roman"/>
          <w:szCs w:val="28"/>
        </w:rPr>
        <w:t>年</w:t>
      </w:r>
      <w:r>
        <w:rPr>
          <w:rFonts w:cs="Times New Roman"/>
          <w:szCs w:val="28"/>
        </w:rPr>
        <w:t>)</w:t>
      </w:r>
      <w:r>
        <w:rPr>
          <w:rFonts w:hint="eastAsia" w:cs="Times New Roman"/>
          <w:szCs w:val="28"/>
        </w:rPr>
        <w:t>；</w:t>
      </w:r>
    </w:p>
    <w:p>
      <w:pPr>
        <w:pStyle w:val="47"/>
        <w:numPr>
          <w:ilvl w:val="0"/>
          <w:numId w:val="29"/>
        </w:numPr>
        <w:ind w:firstLineChars="0"/>
        <w:rPr>
          <w:rFonts w:cs="Times New Roman"/>
          <w:szCs w:val="28"/>
        </w:rPr>
      </w:pPr>
      <w:r>
        <w:rPr>
          <w:rFonts w:cs="Times New Roman"/>
          <w:szCs w:val="28"/>
        </w:rPr>
        <w:t>《湖南省建设项目环境保护管理规定》（湖南省人民政府，2007</w:t>
      </w:r>
      <w:r>
        <w:rPr>
          <w:rFonts w:hint="eastAsia" w:cs="Times New Roman"/>
          <w:szCs w:val="28"/>
        </w:rPr>
        <w:t>年</w:t>
      </w:r>
      <w:r>
        <w:rPr>
          <w:rFonts w:cs="Times New Roman"/>
          <w:szCs w:val="28"/>
        </w:rPr>
        <w:t>)</w:t>
      </w:r>
      <w:r>
        <w:rPr>
          <w:rFonts w:hint="eastAsia" w:cs="Times New Roman"/>
          <w:szCs w:val="28"/>
        </w:rPr>
        <w:t>；</w:t>
      </w:r>
    </w:p>
    <w:p>
      <w:pPr>
        <w:pStyle w:val="47"/>
        <w:numPr>
          <w:ilvl w:val="0"/>
          <w:numId w:val="29"/>
        </w:numPr>
        <w:ind w:firstLineChars="0"/>
        <w:rPr>
          <w:rFonts w:cs="Times New Roman"/>
          <w:szCs w:val="28"/>
        </w:rPr>
      </w:pPr>
      <w:r>
        <w:rPr>
          <w:rFonts w:cs="Times New Roman"/>
          <w:szCs w:val="28"/>
        </w:rPr>
        <w:t>《湖南省主要水系地表水环境功能区划》（DB43／023-2005，2005</w:t>
      </w:r>
      <w:r>
        <w:rPr>
          <w:rFonts w:hint="eastAsia" w:cs="Times New Roman"/>
          <w:szCs w:val="28"/>
        </w:rPr>
        <w:t>年</w:t>
      </w:r>
      <w:r>
        <w:rPr>
          <w:rFonts w:cs="Times New Roman"/>
          <w:szCs w:val="28"/>
        </w:rPr>
        <w:t>);</w:t>
      </w:r>
    </w:p>
    <w:p>
      <w:pPr>
        <w:pStyle w:val="47"/>
        <w:numPr>
          <w:ilvl w:val="0"/>
          <w:numId w:val="29"/>
        </w:numPr>
        <w:ind w:firstLineChars="0"/>
        <w:rPr>
          <w:rFonts w:cs="Times New Roman"/>
          <w:szCs w:val="28"/>
        </w:rPr>
      </w:pPr>
      <w:r>
        <w:rPr>
          <w:rFonts w:cs="Times New Roman"/>
          <w:szCs w:val="28"/>
        </w:rPr>
        <w:t>《湖南省水土保持生态建设规划》（2001-2050）（湖南省水利厅，2001</w:t>
      </w:r>
      <w:r>
        <w:rPr>
          <w:rFonts w:hint="eastAsia" w:cs="Times New Roman"/>
          <w:szCs w:val="28"/>
        </w:rPr>
        <w:t>年</w:t>
      </w:r>
      <w:r>
        <w:rPr>
          <w:rFonts w:cs="Times New Roman"/>
          <w:szCs w:val="28"/>
        </w:rPr>
        <w:t>);</w:t>
      </w:r>
    </w:p>
    <w:p>
      <w:pPr>
        <w:pStyle w:val="47"/>
        <w:numPr>
          <w:ilvl w:val="0"/>
          <w:numId w:val="29"/>
        </w:numPr>
        <w:ind w:firstLineChars="0"/>
        <w:rPr>
          <w:rFonts w:cs="Times New Roman"/>
        </w:rPr>
      </w:pPr>
      <w:r>
        <w:rPr>
          <w:rFonts w:hint="eastAsia" w:cs="Times New Roman"/>
        </w:rPr>
        <w:t>《湖南省湘江流域水污染防治条例》（2002年3月29日修正）；</w:t>
      </w:r>
    </w:p>
    <w:p>
      <w:pPr>
        <w:pStyle w:val="6"/>
        <w:numPr>
          <w:ilvl w:val="2"/>
          <w:numId w:val="27"/>
        </w:numPr>
      </w:pPr>
      <w:bookmarkStart w:id="237" w:name="_Toc113925498"/>
      <w:bookmarkStart w:id="238" w:name="_Toc113925750"/>
      <w:r>
        <w:rPr>
          <w:rFonts w:hint="eastAsia"/>
        </w:rPr>
        <w:t>相关文件</w:t>
      </w:r>
      <w:bookmarkEnd w:id="237"/>
      <w:bookmarkEnd w:id="238"/>
    </w:p>
    <w:p>
      <w:pPr>
        <w:pStyle w:val="47"/>
        <w:numPr>
          <w:ilvl w:val="0"/>
          <w:numId w:val="30"/>
        </w:numPr>
        <w:ind w:firstLineChars="0"/>
        <w:rPr>
          <w:rFonts w:cs="Times New Roman"/>
        </w:rPr>
      </w:pPr>
      <w:r>
        <w:rPr>
          <w:rFonts w:hint="eastAsia" w:cs="Times New Roman"/>
        </w:rPr>
        <w:t>《关于加强生态保护红线管理的通知（试行）》（自然资发〔2022〕142号）；</w:t>
      </w:r>
    </w:p>
    <w:p>
      <w:pPr>
        <w:pStyle w:val="47"/>
        <w:numPr>
          <w:ilvl w:val="0"/>
          <w:numId w:val="30"/>
        </w:numPr>
        <w:ind w:firstLineChars="0"/>
        <w:rPr>
          <w:rFonts w:cs="Times New Roman"/>
        </w:rPr>
      </w:pPr>
      <w:r>
        <w:rPr>
          <w:rFonts w:hint="eastAsia" w:cs="Times New Roman"/>
        </w:rPr>
        <w:t>《湖南省长江经济带发展负面清单实施细则（试行，2022年版）》；</w:t>
      </w:r>
    </w:p>
    <w:p>
      <w:pPr>
        <w:pStyle w:val="47"/>
        <w:numPr>
          <w:ilvl w:val="0"/>
          <w:numId w:val="30"/>
        </w:numPr>
        <w:ind w:firstLineChars="0"/>
        <w:rPr>
          <w:rFonts w:cs="Times New Roman"/>
        </w:rPr>
      </w:pPr>
      <w:r>
        <w:rPr>
          <w:rFonts w:hint="eastAsia" w:cs="Times New Roman"/>
        </w:rPr>
        <w:t>《国家林业和草原局关于2020年国家湿地公园试点验收结果的通知》（林湿发〔2020〕119号）；</w:t>
      </w:r>
    </w:p>
    <w:p>
      <w:pPr>
        <w:pStyle w:val="47"/>
        <w:numPr>
          <w:ilvl w:val="0"/>
          <w:numId w:val="30"/>
        </w:numPr>
        <w:ind w:firstLineChars="0"/>
        <w:rPr>
          <w:rFonts w:cs="Times New Roman"/>
        </w:rPr>
      </w:pPr>
      <w:r>
        <w:rPr>
          <w:rFonts w:hint="eastAsia" w:cs="Times New Roman"/>
        </w:rPr>
        <w:t>《国家林业局关于印发&lt;国家湿地公园管理办法&gt;的通知》（林湿发〔2017〕150号）；</w:t>
      </w:r>
    </w:p>
    <w:p>
      <w:pPr>
        <w:pStyle w:val="47"/>
        <w:numPr>
          <w:ilvl w:val="0"/>
          <w:numId w:val="30"/>
        </w:numPr>
        <w:ind w:firstLineChars="0"/>
        <w:rPr>
          <w:rFonts w:cs="Times New Roman"/>
        </w:rPr>
      </w:pPr>
      <w:r>
        <w:rPr>
          <w:rFonts w:hint="eastAsia" w:cs="Times New Roman"/>
        </w:rPr>
        <w:t>《关于修改〈湿地保护管理规定〉的决定》（国家林业局令第48号）；</w:t>
      </w:r>
    </w:p>
    <w:p>
      <w:pPr>
        <w:pStyle w:val="47"/>
        <w:numPr>
          <w:ilvl w:val="0"/>
          <w:numId w:val="30"/>
        </w:numPr>
        <w:ind w:firstLineChars="0"/>
        <w:rPr>
          <w:rFonts w:cs="Times New Roman"/>
        </w:rPr>
      </w:pPr>
      <w:r>
        <w:rPr>
          <w:rFonts w:hint="eastAsia" w:cs="Times New Roman"/>
        </w:rPr>
        <w:t>《贯彻落实〈湿地保护修复制度方案〉的实施意见》（林函湿字〔2017〕63号）；</w:t>
      </w:r>
    </w:p>
    <w:p>
      <w:pPr>
        <w:pStyle w:val="47"/>
        <w:numPr>
          <w:ilvl w:val="0"/>
          <w:numId w:val="30"/>
        </w:numPr>
        <w:ind w:firstLineChars="0"/>
        <w:rPr>
          <w:rFonts w:cs="Times New Roman"/>
        </w:rPr>
      </w:pPr>
      <w:r>
        <w:rPr>
          <w:rFonts w:hint="eastAsia" w:cs="Times New Roman"/>
        </w:rPr>
        <w:t>《国务院办公厅关于健全生态保护补偿机制的意见》（国办发〔2016〕31号）；</w:t>
      </w:r>
    </w:p>
    <w:p>
      <w:pPr>
        <w:pStyle w:val="47"/>
        <w:numPr>
          <w:ilvl w:val="0"/>
          <w:numId w:val="30"/>
        </w:numPr>
        <w:ind w:firstLineChars="0"/>
        <w:rPr>
          <w:rFonts w:cs="Times New Roman"/>
        </w:rPr>
      </w:pPr>
      <w:r>
        <w:rPr>
          <w:rFonts w:hint="eastAsia" w:cs="Times New Roman"/>
        </w:rPr>
        <w:t>《国家林业局关于印发&lt;中国生态文化发展纲要（2016～2020年）&gt;的通知》（林规发〔2016〕44号）；</w:t>
      </w:r>
    </w:p>
    <w:p>
      <w:pPr>
        <w:pStyle w:val="47"/>
        <w:numPr>
          <w:ilvl w:val="0"/>
          <w:numId w:val="30"/>
        </w:numPr>
        <w:ind w:firstLineChars="0"/>
        <w:rPr>
          <w:rFonts w:cs="Times New Roman"/>
        </w:rPr>
      </w:pPr>
      <w:r>
        <w:rPr>
          <w:rFonts w:hint="eastAsia" w:cs="Times New Roman"/>
        </w:rPr>
        <w:t>《国家林业局办公室关于切实做好春季候鸟等野生动物保护及宣传活动的通知》（办护字〔2016〕36号）；</w:t>
      </w:r>
    </w:p>
    <w:p>
      <w:pPr>
        <w:pStyle w:val="47"/>
        <w:numPr>
          <w:ilvl w:val="0"/>
          <w:numId w:val="30"/>
        </w:numPr>
        <w:ind w:firstLineChars="0"/>
        <w:rPr>
          <w:rFonts w:cs="Times New Roman"/>
        </w:rPr>
      </w:pPr>
      <w:r>
        <w:rPr>
          <w:rFonts w:hint="eastAsia" w:cs="Times New Roman"/>
        </w:rPr>
        <w:t>《湿地保护修复制度方案》（国办发〔2016〕89号）；</w:t>
      </w:r>
    </w:p>
    <w:p>
      <w:pPr>
        <w:pStyle w:val="47"/>
        <w:numPr>
          <w:ilvl w:val="0"/>
          <w:numId w:val="30"/>
        </w:numPr>
        <w:ind w:firstLineChars="0"/>
        <w:rPr>
          <w:rFonts w:cs="Times New Roman"/>
        </w:rPr>
      </w:pPr>
      <w:r>
        <w:rPr>
          <w:rFonts w:hint="eastAsia" w:cs="Times New Roman"/>
        </w:rPr>
        <w:t>《国家林业局关于深入学习贯彻中央12号文件精神的通知》（林办发〔2015〕61号）；</w:t>
      </w:r>
    </w:p>
    <w:p>
      <w:pPr>
        <w:pStyle w:val="47"/>
        <w:numPr>
          <w:ilvl w:val="0"/>
          <w:numId w:val="30"/>
        </w:numPr>
        <w:ind w:firstLineChars="0"/>
        <w:rPr>
          <w:rFonts w:cs="Times New Roman"/>
        </w:rPr>
      </w:pPr>
      <w:r>
        <w:rPr>
          <w:rFonts w:hint="eastAsia" w:cs="Times New Roman"/>
        </w:rPr>
        <w:t>《国务院关于印发水污染防治行动计划的通知》（国发〔2015〕17号）；</w:t>
      </w:r>
    </w:p>
    <w:p>
      <w:pPr>
        <w:pStyle w:val="47"/>
        <w:numPr>
          <w:ilvl w:val="0"/>
          <w:numId w:val="30"/>
        </w:numPr>
        <w:ind w:firstLineChars="0"/>
        <w:rPr>
          <w:rFonts w:cs="Times New Roman"/>
        </w:rPr>
      </w:pPr>
      <w:r>
        <w:rPr>
          <w:rFonts w:hint="eastAsia" w:cs="Times New Roman"/>
        </w:rPr>
        <w:t>《中共中央国务院关于加快推进生态文明建设的意见》（中发〔2015〕12号）；</w:t>
      </w:r>
    </w:p>
    <w:p>
      <w:pPr>
        <w:pStyle w:val="47"/>
        <w:numPr>
          <w:ilvl w:val="0"/>
          <w:numId w:val="30"/>
        </w:numPr>
        <w:ind w:firstLineChars="0"/>
        <w:rPr>
          <w:rFonts w:cs="Times New Roman"/>
        </w:rPr>
      </w:pPr>
      <w:r>
        <w:rPr>
          <w:rFonts w:hint="eastAsia" w:cs="Times New Roman"/>
        </w:rPr>
        <w:t>《国家林业局关于同意北京房山长沟泉水等140处湿地开展国家湿地公园试点工作的通知》（林湿发〔2014〕205号）；</w:t>
      </w:r>
    </w:p>
    <w:p>
      <w:pPr>
        <w:pStyle w:val="47"/>
        <w:numPr>
          <w:ilvl w:val="0"/>
          <w:numId w:val="30"/>
        </w:numPr>
        <w:ind w:firstLineChars="0"/>
        <w:rPr>
          <w:rFonts w:cs="Times New Roman"/>
        </w:rPr>
      </w:pPr>
      <w:r>
        <w:rPr>
          <w:rFonts w:hint="eastAsia" w:cs="Times New Roman"/>
        </w:rPr>
        <w:t>《国务院关于印发〈全国主体功能区规划〉的通知》（国发〔2010〕46号）；</w:t>
      </w:r>
    </w:p>
    <w:p>
      <w:pPr>
        <w:pStyle w:val="47"/>
        <w:numPr>
          <w:ilvl w:val="0"/>
          <w:numId w:val="30"/>
        </w:numPr>
        <w:ind w:firstLineChars="0"/>
        <w:rPr>
          <w:rFonts w:cs="Times New Roman"/>
        </w:rPr>
      </w:pPr>
      <w:r>
        <w:rPr>
          <w:rFonts w:hint="eastAsia" w:cs="Times New Roman"/>
        </w:rPr>
        <w:t>《关于印发〈中国生物多样性保护战略与行动计划〉（2011～2030年）的通知》（环发〔2010〕106号）；</w:t>
      </w:r>
    </w:p>
    <w:p>
      <w:pPr>
        <w:pStyle w:val="47"/>
        <w:numPr>
          <w:ilvl w:val="0"/>
          <w:numId w:val="30"/>
        </w:numPr>
        <w:ind w:firstLineChars="0"/>
        <w:rPr>
          <w:rFonts w:cs="Times New Roman"/>
        </w:rPr>
      </w:pPr>
      <w:r>
        <w:rPr>
          <w:rFonts w:hint="eastAsia" w:cs="Times New Roman"/>
        </w:rPr>
        <w:t>《国务院办公厅关于加强湿地保护管理的通知》（国办发〔2004〕50号）；</w:t>
      </w:r>
    </w:p>
    <w:p>
      <w:pPr>
        <w:pStyle w:val="47"/>
        <w:numPr>
          <w:ilvl w:val="0"/>
          <w:numId w:val="30"/>
        </w:numPr>
        <w:ind w:firstLineChars="0"/>
        <w:rPr>
          <w:rFonts w:cs="Times New Roman"/>
        </w:rPr>
      </w:pPr>
      <w:r>
        <w:rPr>
          <w:rFonts w:hint="eastAsia" w:cs="Times New Roman"/>
        </w:rPr>
        <w:t>《湖南省人民政府办公厅关于加强湿地保护管理工作的通知》（湘政办函〔2004〕146号）。</w:t>
      </w:r>
    </w:p>
    <w:p>
      <w:pPr>
        <w:pStyle w:val="6"/>
        <w:numPr>
          <w:ilvl w:val="2"/>
          <w:numId w:val="27"/>
        </w:numPr>
      </w:pPr>
      <w:bookmarkStart w:id="239" w:name="_Toc113925751"/>
      <w:bookmarkStart w:id="240" w:name="_Toc113925499"/>
      <w:r>
        <w:rPr>
          <w:rFonts w:hint="eastAsia"/>
        </w:rPr>
        <w:t>标准、规程、规范</w:t>
      </w:r>
      <w:bookmarkEnd w:id="239"/>
      <w:bookmarkEnd w:id="240"/>
    </w:p>
    <w:p>
      <w:pPr>
        <w:pStyle w:val="47"/>
        <w:numPr>
          <w:ilvl w:val="0"/>
          <w:numId w:val="31"/>
        </w:numPr>
        <w:rPr>
          <w:rFonts w:cs="Times New Roman"/>
        </w:rPr>
      </w:pPr>
      <w:r>
        <w:rPr>
          <w:rFonts w:cs="Times New Roman"/>
          <w:szCs w:val="28"/>
        </w:rPr>
        <w:t>《生活饮用水卫生标准》（GB5749-2022）</w:t>
      </w:r>
      <w:r>
        <w:rPr>
          <w:rFonts w:hint="eastAsia" w:cs="Times New Roman"/>
        </w:rPr>
        <w:t>；</w:t>
      </w:r>
    </w:p>
    <w:p>
      <w:pPr>
        <w:pStyle w:val="47"/>
        <w:numPr>
          <w:ilvl w:val="0"/>
          <w:numId w:val="31"/>
        </w:numPr>
        <w:rPr>
          <w:rFonts w:cs="Times New Roman"/>
        </w:rPr>
      </w:pPr>
      <w:r>
        <w:rPr>
          <w:rFonts w:hint="eastAsia" w:cs="Times New Roman"/>
        </w:rPr>
        <w:t>《国家重点保护野生动物名录》（2</w:t>
      </w:r>
      <w:r>
        <w:rPr>
          <w:rFonts w:cs="Times New Roman"/>
        </w:rPr>
        <w:t>021</w:t>
      </w:r>
      <w:r>
        <w:rPr>
          <w:rFonts w:hint="eastAsia" w:cs="Times New Roman"/>
        </w:rPr>
        <w:t>年第3号）；</w:t>
      </w:r>
    </w:p>
    <w:p>
      <w:pPr>
        <w:pStyle w:val="47"/>
        <w:numPr>
          <w:ilvl w:val="0"/>
          <w:numId w:val="31"/>
        </w:numPr>
        <w:rPr>
          <w:rFonts w:cs="Times New Roman"/>
        </w:rPr>
      </w:pPr>
      <w:r>
        <w:rPr>
          <w:rFonts w:hint="eastAsia" w:cs="Times New Roman"/>
        </w:rPr>
        <w:t>《国家重点保护野生植物名录》（2021年第15号）；</w:t>
      </w:r>
    </w:p>
    <w:p>
      <w:pPr>
        <w:pStyle w:val="47"/>
        <w:numPr>
          <w:ilvl w:val="0"/>
          <w:numId w:val="31"/>
        </w:numPr>
        <w:rPr>
          <w:rFonts w:cs="Times New Roman"/>
        </w:rPr>
      </w:pPr>
      <w:r>
        <w:rPr>
          <w:rFonts w:hint="eastAsia" w:cs="Times New Roman"/>
        </w:rPr>
        <w:t>《湿地保护工程项目建设标准》（建标</w:t>
      </w:r>
      <w:r>
        <w:rPr>
          <w:rFonts w:cs="Times New Roman"/>
        </w:rPr>
        <w:t xml:space="preserve"> </w:t>
      </w:r>
      <w:r>
        <w:rPr>
          <w:rFonts w:hint="eastAsia" w:cs="Times New Roman"/>
        </w:rPr>
        <w:t>196-2018）；</w:t>
      </w:r>
    </w:p>
    <w:p>
      <w:pPr>
        <w:pStyle w:val="47"/>
        <w:numPr>
          <w:ilvl w:val="0"/>
          <w:numId w:val="31"/>
        </w:numPr>
        <w:rPr>
          <w:rFonts w:cs="Times New Roman"/>
        </w:rPr>
      </w:pPr>
      <w:r>
        <w:rPr>
          <w:rFonts w:hint="eastAsia" w:cs="Times New Roman"/>
        </w:rPr>
        <w:t>《国家林业局湿地保护管理中心关于印发&lt;湿地公园总体规划导则&gt;的通知》（林湿综字〔2018〕1号）；</w:t>
      </w:r>
    </w:p>
    <w:p>
      <w:pPr>
        <w:pStyle w:val="47"/>
        <w:numPr>
          <w:ilvl w:val="0"/>
          <w:numId w:val="31"/>
        </w:numPr>
        <w:rPr>
          <w:rFonts w:cs="Times New Roman"/>
        </w:rPr>
      </w:pPr>
      <w:r>
        <w:rPr>
          <w:rFonts w:hint="eastAsia" w:cs="Times New Roman"/>
        </w:rPr>
        <w:t>《防洪标准》（GB</w:t>
      </w:r>
      <w:r>
        <w:rPr>
          <w:rFonts w:cs="Times New Roman"/>
        </w:rPr>
        <w:t xml:space="preserve"> </w:t>
      </w:r>
      <w:r>
        <w:rPr>
          <w:rFonts w:hint="eastAsia" w:cs="Times New Roman"/>
        </w:rPr>
        <w:t>50201-2014）；</w:t>
      </w:r>
    </w:p>
    <w:p>
      <w:pPr>
        <w:pStyle w:val="47"/>
        <w:numPr>
          <w:ilvl w:val="0"/>
          <w:numId w:val="31"/>
        </w:numPr>
        <w:rPr>
          <w:rFonts w:cs="Times New Roman"/>
        </w:rPr>
      </w:pPr>
      <w:r>
        <w:rPr>
          <w:rFonts w:hint="eastAsia" w:cs="Times New Roman"/>
        </w:rPr>
        <w:t>《湿地生态系统定位观测指标体系》（LY/T</w:t>
      </w:r>
      <w:r>
        <w:rPr>
          <w:rFonts w:cs="Times New Roman"/>
        </w:rPr>
        <w:t xml:space="preserve"> 2090-2013</w:t>
      </w:r>
      <w:r>
        <w:rPr>
          <w:rFonts w:hint="eastAsia" w:cs="Times New Roman"/>
        </w:rPr>
        <w:t>）；</w:t>
      </w:r>
    </w:p>
    <w:p>
      <w:pPr>
        <w:pStyle w:val="47"/>
        <w:numPr>
          <w:ilvl w:val="0"/>
          <w:numId w:val="31"/>
        </w:numPr>
        <w:rPr>
          <w:rFonts w:cs="Times New Roman"/>
        </w:rPr>
      </w:pPr>
      <w:r>
        <w:rPr>
          <w:rFonts w:hint="eastAsia" w:cs="Times New Roman"/>
        </w:rPr>
        <w:t>《农村饮用水水源地环境保护技术指南》（HJ</w:t>
      </w:r>
      <w:r>
        <w:rPr>
          <w:rFonts w:cs="Times New Roman"/>
        </w:rPr>
        <w:t xml:space="preserve"> </w:t>
      </w:r>
      <w:r>
        <w:rPr>
          <w:rFonts w:hint="eastAsia" w:cs="Times New Roman"/>
        </w:rPr>
        <w:t>2032-2013）；</w:t>
      </w:r>
    </w:p>
    <w:p>
      <w:pPr>
        <w:pStyle w:val="47"/>
        <w:numPr>
          <w:ilvl w:val="0"/>
          <w:numId w:val="31"/>
        </w:numPr>
        <w:rPr>
          <w:rFonts w:cs="Times New Roman"/>
        </w:rPr>
      </w:pPr>
      <w:r>
        <w:rPr>
          <w:rFonts w:hint="eastAsia" w:cs="Times New Roman"/>
        </w:rPr>
        <w:t>《人工湿地污水处理工程技术规范》（HJ</w:t>
      </w:r>
      <w:r>
        <w:rPr>
          <w:rFonts w:cs="Times New Roman"/>
        </w:rPr>
        <w:t xml:space="preserve"> </w:t>
      </w:r>
      <w:r>
        <w:rPr>
          <w:rFonts w:hint="eastAsia" w:cs="Times New Roman"/>
        </w:rPr>
        <w:t>2005-2010）；</w:t>
      </w:r>
    </w:p>
    <w:p>
      <w:pPr>
        <w:pStyle w:val="47"/>
        <w:numPr>
          <w:ilvl w:val="0"/>
          <w:numId w:val="31"/>
        </w:numPr>
        <w:rPr>
          <w:rFonts w:cs="Times New Roman"/>
        </w:rPr>
      </w:pPr>
      <w:r>
        <w:rPr>
          <w:rFonts w:hint="eastAsia" w:cs="Times New Roman"/>
        </w:rPr>
        <w:t>《国家湿地公园评估标准》（LY/T</w:t>
      </w:r>
      <w:r>
        <w:rPr>
          <w:rFonts w:cs="Times New Roman"/>
        </w:rPr>
        <w:t xml:space="preserve"> </w:t>
      </w:r>
      <w:r>
        <w:rPr>
          <w:rFonts w:hint="eastAsia" w:cs="Times New Roman"/>
        </w:rPr>
        <w:t>1754-2008）；</w:t>
      </w:r>
    </w:p>
    <w:p>
      <w:pPr>
        <w:pStyle w:val="47"/>
        <w:numPr>
          <w:ilvl w:val="0"/>
          <w:numId w:val="31"/>
        </w:numPr>
        <w:rPr>
          <w:rFonts w:cs="Times New Roman"/>
        </w:rPr>
      </w:pPr>
      <w:r>
        <w:rPr>
          <w:rFonts w:hint="eastAsia" w:cs="Times New Roman"/>
        </w:rPr>
        <w:t>《国家湿地公园建设规范》（LY/T</w:t>
      </w:r>
      <w:r>
        <w:rPr>
          <w:rFonts w:cs="Times New Roman"/>
        </w:rPr>
        <w:t xml:space="preserve"> </w:t>
      </w:r>
      <w:r>
        <w:rPr>
          <w:rFonts w:hint="eastAsia" w:cs="Times New Roman"/>
        </w:rPr>
        <w:t>1755-2008）；</w:t>
      </w:r>
    </w:p>
    <w:p>
      <w:pPr>
        <w:pStyle w:val="47"/>
        <w:numPr>
          <w:ilvl w:val="0"/>
          <w:numId w:val="31"/>
        </w:numPr>
        <w:rPr>
          <w:rFonts w:cs="Times New Roman"/>
        </w:rPr>
      </w:pPr>
      <w:r>
        <w:rPr>
          <w:rFonts w:hint="eastAsia" w:cs="Times New Roman"/>
        </w:rPr>
        <w:t>《土壤环境质量标准》（GB15618-2008）；</w:t>
      </w:r>
    </w:p>
    <w:p>
      <w:pPr>
        <w:pStyle w:val="47"/>
        <w:numPr>
          <w:ilvl w:val="0"/>
          <w:numId w:val="31"/>
        </w:numPr>
        <w:rPr>
          <w:rFonts w:cs="Times New Roman"/>
        </w:rPr>
      </w:pPr>
      <w:r>
        <w:rPr>
          <w:rFonts w:hint="eastAsia" w:cs="Times New Roman"/>
        </w:rPr>
        <w:t>《绿色建筑评价标准》（GB/T50378-2006）；</w:t>
      </w:r>
    </w:p>
    <w:p>
      <w:pPr>
        <w:pStyle w:val="47"/>
        <w:numPr>
          <w:ilvl w:val="0"/>
          <w:numId w:val="31"/>
        </w:numPr>
        <w:rPr>
          <w:rFonts w:cs="Times New Roman"/>
        </w:rPr>
      </w:pPr>
      <w:r>
        <w:rPr>
          <w:rFonts w:hint="eastAsia" w:cs="Times New Roman"/>
        </w:rPr>
        <w:t>《地表水环境质量标准》（GB</w:t>
      </w:r>
      <w:r>
        <w:rPr>
          <w:rFonts w:cs="Times New Roman"/>
        </w:rPr>
        <w:t xml:space="preserve"> </w:t>
      </w:r>
      <w:r>
        <w:rPr>
          <w:rFonts w:hint="eastAsia" w:cs="Times New Roman"/>
        </w:rPr>
        <w:t>3838-2002）</w:t>
      </w:r>
      <w:r>
        <w:rPr>
          <w:rFonts w:hint="eastAsia" w:cs="Times New Roman"/>
          <w:lang w:eastAsia="zh-CN"/>
        </w:rPr>
        <w:t>；</w:t>
      </w:r>
    </w:p>
    <w:p>
      <w:pPr>
        <w:spacing w:line="360" w:lineRule="auto"/>
        <w:ind w:firstLine="560" w:firstLineChars="200"/>
        <w:rPr>
          <w:rFonts w:hint="default" w:ascii="Times New Roman" w:hAnsi="Times New Roman" w:eastAsia="仿宋" w:cs="Times New Roman"/>
          <w:i w:val="0"/>
          <w:iCs w:val="0"/>
          <w:caps w:val="0"/>
          <w:spacing w:val="0"/>
          <w:sz w:val="28"/>
          <w:szCs w:val="28"/>
          <w:highlight w:val="none"/>
          <w:shd w:val="clear"/>
          <w:lang w:eastAsia="zh-CN"/>
        </w:rPr>
      </w:pPr>
      <w:r>
        <w:rPr>
          <w:rFonts w:hint="default" w:ascii="Times New Roman" w:hAnsi="Times New Roman" w:eastAsia="仿宋" w:cs="Times New Roman"/>
          <w:i w:val="0"/>
          <w:iCs w:val="0"/>
          <w:caps w:val="0"/>
          <w:spacing w:val="0"/>
          <w:sz w:val="28"/>
          <w:szCs w:val="28"/>
          <w:highlight w:val="none"/>
          <w:shd w:val="clear"/>
          <w:lang w:eastAsia="zh-CN"/>
        </w:rPr>
        <w:t>（</w:t>
      </w:r>
      <w:r>
        <w:rPr>
          <w:rFonts w:hint="default" w:ascii="Times New Roman" w:hAnsi="Times New Roman" w:eastAsia="仿宋" w:cs="Times New Roman"/>
          <w:i w:val="0"/>
          <w:iCs w:val="0"/>
          <w:caps w:val="0"/>
          <w:spacing w:val="0"/>
          <w:sz w:val="28"/>
          <w:szCs w:val="28"/>
          <w:highlight w:val="none"/>
          <w:shd w:val="clear"/>
          <w:lang w:val="en-US" w:eastAsia="zh-CN"/>
        </w:rPr>
        <w:t>1</w:t>
      </w:r>
      <w:r>
        <w:rPr>
          <w:rFonts w:hint="eastAsia" w:ascii="Times New Roman" w:hAnsi="Times New Roman" w:cs="Times New Roman"/>
          <w:i w:val="0"/>
          <w:iCs w:val="0"/>
          <w:caps w:val="0"/>
          <w:spacing w:val="0"/>
          <w:sz w:val="28"/>
          <w:szCs w:val="28"/>
          <w:highlight w:val="none"/>
          <w:shd w:val="clear"/>
          <w:lang w:val="en-US" w:eastAsia="zh-CN"/>
        </w:rPr>
        <w:t>5</w:t>
      </w:r>
      <w:r>
        <w:rPr>
          <w:rFonts w:hint="default" w:ascii="Times New Roman" w:hAnsi="Times New Roman" w:eastAsia="仿宋" w:cs="Times New Roman"/>
          <w:i w:val="0"/>
          <w:iCs w:val="0"/>
          <w:caps w:val="0"/>
          <w:spacing w:val="0"/>
          <w:sz w:val="28"/>
          <w:szCs w:val="28"/>
          <w:highlight w:val="none"/>
          <w:shd w:val="clear"/>
          <w:lang w:eastAsia="zh-CN"/>
        </w:rPr>
        <w:t>）</w:t>
      </w:r>
      <w:r>
        <w:rPr>
          <w:rFonts w:hint="default" w:ascii="Times New Roman" w:hAnsi="Times New Roman" w:eastAsia="仿宋" w:cs="Times New Roman"/>
          <w:i w:val="0"/>
          <w:iCs w:val="0"/>
          <w:caps w:val="0"/>
          <w:spacing w:val="0"/>
          <w:sz w:val="28"/>
          <w:szCs w:val="28"/>
          <w:highlight w:val="none"/>
          <w:shd w:val="clear"/>
        </w:rPr>
        <w:t>《国家重点保护野生植物名录》</w:t>
      </w:r>
      <w:r>
        <w:rPr>
          <w:rFonts w:hint="default" w:ascii="Times New Roman" w:hAnsi="Times New Roman" w:eastAsia="仿宋" w:cs="Times New Roman"/>
          <w:i w:val="0"/>
          <w:iCs w:val="0"/>
          <w:caps w:val="0"/>
          <w:spacing w:val="0"/>
          <w:sz w:val="28"/>
          <w:szCs w:val="28"/>
          <w:highlight w:val="none"/>
          <w:shd w:val="clear"/>
          <w:lang w:eastAsia="zh-CN"/>
        </w:rPr>
        <w:t>（</w:t>
      </w:r>
      <w:r>
        <w:rPr>
          <w:rFonts w:hint="default" w:ascii="Times New Roman" w:hAnsi="Times New Roman" w:eastAsia="仿宋" w:cs="Times New Roman"/>
          <w:i w:val="0"/>
          <w:iCs w:val="0"/>
          <w:caps w:val="0"/>
          <w:spacing w:val="0"/>
          <w:sz w:val="28"/>
          <w:szCs w:val="28"/>
          <w:highlight w:val="none"/>
          <w:u w:val="none"/>
          <w:shd w:val="clear"/>
        </w:rPr>
        <w:fldChar w:fldCharType="begin"/>
      </w:r>
      <w:r>
        <w:rPr>
          <w:rFonts w:hint="default" w:ascii="Times New Roman" w:hAnsi="Times New Roman" w:eastAsia="仿宋" w:cs="Times New Roman"/>
          <w:i w:val="0"/>
          <w:iCs w:val="0"/>
          <w:caps w:val="0"/>
          <w:spacing w:val="0"/>
          <w:sz w:val="28"/>
          <w:szCs w:val="28"/>
          <w:highlight w:val="none"/>
          <w:u w:val="none"/>
          <w:shd w:val="clear"/>
        </w:rPr>
        <w:instrText xml:space="preserve"> HYPERLINK "https://baike.baidu.com/item/%E5%9B%BD%E5%AE%B6%E6%9E%97%E4%B8%9A%E5%92%8C%E8%8D%89%E5%8E%9F%E5%B1%80/22428896?fromModule=lemma_inlink" \t "https://baike.baidu.com/item/%E5%9B%BD%E5%AE%B6%E9%87%8D%E7%82%B9%E4%BF%9D%E6%8A%A4%E9%87%8E%E7%94%9F%E6%A4%8D%E7%89%A9%E5%90%8D%E5%BD%95/_blank" </w:instrText>
      </w:r>
      <w:r>
        <w:rPr>
          <w:rFonts w:hint="default" w:ascii="Times New Roman" w:hAnsi="Times New Roman" w:eastAsia="仿宋" w:cs="Times New Roman"/>
          <w:i w:val="0"/>
          <w:iCs w:val="0"/>
          <w:caps w:val="0"/>
          <w:spacing w:val="0"/>
          <w:sz w:val="28"/>
          <w:szCs w:val="28"/>
          <w:highlight w:val="none"/>
          <w:u w:val="none"/>
          <w:shd w:val="clear"/>
        </w:rPr>
        <w:fldChar w:fldCharType="separate"/>
      </w:r>
      <w:r>
        <w:rPr>
          <w:rFonts w:hint="default" w:ascii="Times New Roman" w:hAnsi="Times New Roman" w:eastAsia="仿宋" w:cs="Times New Roman"/>
          <w:i w:val="0"/>
          <w:iCs w:val="0"/>
          <w:caps w:val="0"/>
          <w:spacing w:val="0"/>
          <w:sz w:val="28"/>
          <w:szCs w:val="28"/>
          <w:highlight w:val="none"/>
          <w:u w:val="none"/>
          <w:shd w:val="clear"/>
        </w:rPr>
        <w:t>国家林业和草原局</w:t>
      </w:r>
      <w:r>
        <w:rPr>
          <w:rFonts w:hint="default" w:ascii="Times New Roman" w:hAnsi="Times New Roman" w:eastAsia="仿宋" w:cs="Times New Roman"/>
          <w:i w:val="0"/>
          <w:iCs w:val="0"/>
          <w:caps w:val="0"/>
          <w:spacing w:val="0"/>
          <w:sz w:val="28"/>
          <w:szCs w:val="28"/>
          <w:highlight w:val="none"/>
          <w:u w:val="none"/>
          <w:shd w:val="clear"/>
        </w:rPr>
        <w:fldChar w:fldCharType="end"/>
      </w:r>
      <w:r>
        <w:rPr>
          <w:rFonts w:hint="default" w:ascii="Times New Roman" w:hAnsi="Times New Roman" w:eastAsia="仿宋" w:cs="Times New Roman"/>
          <w:i w:val="0"/>
          <w:iCs w:val="0"/>
          <w:caps w:val="0"/>
          <w:spacing w:val="0"/>
          <w:sz w:val="28"/>
          <w:szCs w:val="28"/>
          <w:highlight w:val="none"/>
          <w:shd w:val="clear"/>
        </w:rPr>
        <w:t> 农业农村部公告，2021年第15号</w:t>
      </w:r>
      <w:r>
        <w:rPr>
          <w:rFonts w:hint="default" w:ascii="Times New Roman" w:hAnsi="Times New Roman" w:eastAsia="仿宋" w:cs="Times New Roman"/>
          <w:i w:val="0"/>
          <w:iCs w:val="0"/>
          <w:caps w:val="0"/>
          <w:spacing w:val="0"/>
          <w:sz w:val="28"/>
          <w:szCs w:val="28"/>
          <w:highlight w:val="none"/>
          <w:shd w:val="clear"/>
          <w:lang w:eastAsia="zh-CN"/>
        </w:rPr>
        <w:t>）</w:t>
      </w:r>
      <w:r>
        <w:rPr>
          <w:rFonts w:hint="eastAsia" w:ascii="Times New Roman" w:hAnsi="Times New Roman" w:eastAsia="仿宋" w:cs="Times New Roman"/>
          <w:i w:val="0"/>
          <w:iCs w:val="0"/>
          <w:caps w:val="0"/>
          <w:spacing w:val="0"/>
          <w:sz w:val="28"/>
          <w:szCs w:val="28"/>
          <w:highlight w:val="none"/>
          <w:shd w:val="clear"/>
          <w:lang w:eastAsia="zh-CN"/>
        </w:rPr>
        <w:t>；</w:t>
      </w:r>
    </w:p>
    <w:p>
      <w:pPr>
        <w:ind w:firstLine="560"/>
        <w:jc w:val="left"/>
        <w:rPr>
          <w:rFonts w:cs="Times New Roman"/>
        </w:rPr>
      </w:pPr>
      <w:r>
        <w:rPr>
          <w:rFonts w:hint="default" w:ascii="Times New Roman" w:hAnsi="Times New Roman" w:eastAsia="仿宋" w:cs="Times New Roman"/>
          <w:i w:val="0"/>
          <w:iCs w:val="0"/>
          <w:caps w:val="0"/>
          <w:spacing w:val="0"/>
          <w:sz w:val="28"/>
          <w:szCs w:val="28"/>
          <w:highlight w:val="none"/>
          <w:shd w:val="clear"/>
          <w:lang w:eastAsia="zh-CN"/>
        </w:rPr>
        <w:t>（</w:t>
      </w:r>
      <w:r>
        <w:rPr>
          <w:rFonts w:hint="default" w:ascii="Times New Roman" w:hAnsi="Times New Roman" w:eastAsia="仿宋" w:cs="Times New Roman"/>
          <w:i w:val="0"/>
          <w:iCs w:val="0"/>
          <w:caps w:val="0"/>
          <w:spacing w:val="0"/>
          <w:sz w:val="28"/>
          <w:szCs w:val="28"/>
          <w:highlight w:val="none"/>
          <w:shd w:val="clear"/>
          <w:lang w:val="en-US" w:eastAsia="zh-CN"/>
        </w:rPr>
        <w:t>1</w:t>
      </w:r>
      <w:r>
        <w:rPr>
          <w:rFonts w:hint="eastAsia" w:ascii="Times New Roman" w:hAnsi="Times New Roman" w:cs="Times New Roman"/>
          <w:i w:val="0"/>
          <w:iCs w:val="0"/>
          <w:caps w:val="0"/>
          <w:spacing w:val="0"/>
          <w:sz w:val="28"/>
          <w:szCs w:val="28"/>
          <w:highlight w:val="none"/>
          <w:shd w:val="clear"/>
          <w:lang w:val="en-US" w:eastAsia="zh-CN"/>
        </w:rPr>
        <w:t>6</w:t>
      </w:r>
      <w:r>
        <w:rPr>
          <w:rFonts w:hint="default" w:ascii="Times New Roman" w:hAnsi="Times New Roman" w:eastAsia="仿宋" w:cs="Times New Roman"/>
          <w:i w:val="0"/>
          <w:iCs w:val="0"/>
          <w:caps w:val="0"/>
          <w:spacing w:val="0"/>
          <w:sz w:val="28"/>
          <w:szCs w:val="28"/>
          <w:highlight w:val="none"/>
          <w:shd w:val="clear"/>
          <w:lang w:eastAsia="zh-CN"/>
        </w:rPr>
        <w:t>）</w:t>
      </w:r>
      <w:r>
        <w:rPr>
          <w:rFonts w:hint="default" w:ascii="Times New Roman" w:hAnsi="Times New Roman" w:eastAsia="仿宋" w:cs="Times New Roman"/>
          <w:i w:val="0"/>
          <w:iCs w:val="0"/>
          <w:caps w:val="0"/>
          <w:spacing w:val="0"/>
          <w:sz w:val="28"/>
          <w:szCs w:val="28"/>
          <w:highlight w:val="none"/>
          <w:shd w:val="clear"/>
        </w:rPr>
        <w:t>《国家重点保护野生</w:t>
      </w:r>
      <w:r>
        <w:rPr>
          <w:rFonts w:hint="eastAsia" w:ascii="Times New Roman" w:hAnsi="Times New Roman" w:eastAsia="仿宋" w:cs="Times New Roman"/>
          <w:i w:val="0"/>
          <w:iCs w:val="0"/>
          <w:caps w:val="0"/>
          <w:spacing w:val="0"/>
          <w:sz w:val="28"/>
          <w:szCs w:val="28"/>
          <w:highlight w:val="none"/>
          <w:shd w:val="clear"/>
          <w:lang w:eastAsia="zh-CN"/>
        </w:rPr>
        <w:t>动</w:t>
      </w:r>
      <w:r>
        <w:rPr>
          <w:rFonts w:hint="default" w:ascii="Times New Roman" w:hAnsi="Times New Roman" w:eastAsia="仿宋" w:cs="Times New Roman"/>
          <w:i w:val="0"/>
          <w:iCs w:val="0"/>
          <w:caps w:val="0"/>
          <w:spacing w:val="0"/>
          <w:sz w:val="28"/>
          <w:szCs w:val="28"/>
          <w:highlight w:val="none"/>
          <w:shd w:val="clear"/>
        </w:rPr>
        <w:t>物名录》</w:t>
      </w:r>
      <w:r>
        <w:rPr>
          <w:rFonts w:hint="default" w:ascii="Times New Roman" w:hAnsi="Times New Roman" w:eastAsia="仿宋" w:cs="Times New Roman"/>
          <w:i w:val="0"/>
          <w:iCs w:val="0"/>
          <w:caps w:val="0"/>
          <w:spacing w:val="0"/>
          <w:sz w:val="28"/>
          <w:szCs w:val="28"/>
          <w:highlight w:val="none"/>
          <w:shd w:val="clear"/>
          <w:lang w:eastAsia="zh-CN"/>
        </w:rPr>
        <w:t>（</w:t>
      </w:r>
      <w:r>
        <w:rPr>
          <w:rFonts w:ascii="Times New Roman" w:hAnsi="Times New Roman" w:eastAsia="仿宋" w:cs="Times New Roman"/>
          <w:i w:val="0"/>
          <w:iCs w:val="0"/>
          <w:caps w:val="0"/>
          <w:spacing w:val="0"/>
          <w:sz w:val="28"/>
          <w:szCs w:val="28"/>
          <w:highlight w:val="none"/>
          <w:shd w:val="clear"/>
        </w:rPr>
        <w:t>中国</w:t>
      </w:r>
      <w:r>
        <w:rPr>
          <w:rFonts w:hint="default" w:ascii="Times New Roman" w:hAnsi="Times New Roman" w:eastAsia="仿宋" w:cs="Times New Roman"/>
          <w:i w:val="0"/>
          <w:iCs w:val="0"/>
          <w:caps w:val="0"/>
          <w:spacing w:val="0"/>
          <w:sz w:val="28"/>
          <w:szCs w:val="28"/>
          <w:highlight w:val="none"/>
          <w:u w:val="none"/>
          <w:shd w:val="clear"/>
        </w:rPr>
        <w:fldChar w:fldCharType="begin"/>
      </w:r>
      <w:r>
        <w:rPr>
          <w:rFonts w:hint="default" w:ascii="Times New Roman" w:hAnsi="Times New Roman" w:eastAsia="仿宋" w:cs="Times New Roman"/>
          <w:i w:val="0"/>
          <w:iCs w:val="0"/>
          <w:caps w:val="0"/>
          <w:spacing w:val="0"/>
          <w:sz w:val="28"/>
          <w:szCs w:val="28"/>
          <w:highlight w:val="none"/>
          <w:u w:val="none"/>
          <w:shd w:val="clear"/>
        </w:rPr>
        <w:instrText xml:space="preserve"> HYPERLINK "https://baike.baidu.com/item/%E5%9B%BD%E5%AE%B6%E6%9E%97%E4%B8%9A%E5%92%8C%E8%8D%89%E5%8E%9F%E5%B1%80/22428896?fromModule=lemma_inlink" \t "https://baike.baidu.com/item/%E5%9B%BD%E5%AE%B6%E9%87%8D%E7%82%B9%E4%BF%9D%E6%8A%A4%E9%87%8E%E7%94%9F%E6%A4%8D%E7%89%A9%E5%90%8D%E5%BD%95/_blank" </w:instrText>
      </w:r>
      <w:r>
        <w:rPr>
          <w:rFonts w:hint="default" w:ascii="Times New Roman" w:hAnsi="Times New Roman" w:eastAsia="仿宋" w:cs="Times New Roman"/>
          <w:i w:val="0"/>
          <w:iCs w:val="0"/>
          <w:caps w:val="0"/>
          <w:spacing w:val="0"/>
          <w:sz w:val="28"/>
          <w:szCs w:val="28"/>
          <w:highlight w:val="none"/>
          <w:u w:val="none"/>
          <w:shd w:val="clear"/>
        </w:rPr>
        <w:fldChar w:fldCharType="separate"/>
      </w:r>
      <w:r>
        <w:rPr>
          <w:rFonts w:hint="default" w:ascii="Times New Roman" w:hAnsi="Times New Roman" w:eastAsia="仿宋" w:cs="Times New Roman"/>
          <w:i w:val="0"/>
          <w:iCs w:val="0"/>
          <w:caps w:val="0"/>
          <w:spacing w:val="0"/>
          <w:sz w:val="28"/>
          <w:szCs w:val="28"/>
          <w:highlight w:val="none"/>
          <w:u w:val="none"/>
          <w:shd w:val="clear"/>
        </w:rPr>
        <w:t>国家林业和草原局</w:t>
      </w:r>
      <w:r>
        <w:rPr>
          <w:rFonts w:hint="default" w:ascii="Times New Roman" w:hAnsi="Times New Roman" w:eastAsia="仿宋" w:cs="Times New Roman"/>
          <w:i w:val="0"/>
          <w:iCs w:val="0"/>
          <w:caps w:val="0"/>
          <w:spacing w:val="0"/>
          <w:sz w:val="28"/>
          <w:szCs w:val="28"/>
          <w:highlight w:val="none"/>
          <w:u w:val="none"/>
          <w:shd w:val="clear"/>
        </w:rPr>
        <w:fldChar w:fldCharType="end"/>
      </w:r>
      <w:r>
        <w:rPr>
          <w:rFonts w:hint="default" w:ascii="Times New Roman" w:hAnsi="Times New Roman" w:eastAsia="仿宋" w:cs="Times New Roman"/>
          <w:i w:val="0"/>
          <w:iCs w:val="0"/>
          <w:caps w:val="0"/>
          <w:spacing w:val="0"/>
          <w:sz w:val="28"/>
          <w:szCs w:val="28"/>
          <w:highlight w:val="none"/>
          <w:shd w:val="clear"/>
        </w:rPr>
        <w:t> 农业农村部公告，2021年第</w:t>
      </w:r>
      <w:r>
        <w:rPr>
          <w:rFonts w:hint="eastAsia" w:ascii="Times New Roman" w:hAnsi="Times New Roman" w:eastAsia="仿宋" w:cs="Times New Roman"/>
          <w:i w:val="0"/>
          <w:iCs w:val="0"/>
          <w:caps w:val="0"/>
          <w:spacing w:val="0"/>
          <w:sz w:val="28"/>
          <w:szCs w:val="28"/>
          <w:highlight w:val="none"/>
          <w:shd w:val="clear"/>
          <w:lang w:val="en-US" w:eastAsia="zh-CN"/>
        </w:rPr>
        <w:t>3</w:t>
      </w:r>
      <w:r>
        <w:rPr>
          <w:rFonts w:hint="default" w:ascii="Times New Roman" w:hAnsi="Times New Roman" w:eastAsia="仿宋" w:cs="Times New Roman"/>
          <w:i w:val="0"/>
          <w:iCs w:val="0"/>
          <w:caps w:val="0"/>
          <w:spacing w:val="0"/>
          <w:sz w:val="28"/>
          <w:szCs w:val="28"/>
          <w:highlight w:val="none"/>
          <w:shd w:val="clear"/>
        </w:rPr>
        <w:t>号</w:t>
      </w:r>
      <w:r>
        <w:rPr>
          <w:rFonts w:hint="default" w:ascii="Times New Roman" w:hAnsi="Times New Roman" w:eastAsia="仿宋" w:cs="Times New Roman"/>
          <w:i w:val="0"/>
          <w:iCs w:val="0"/>
          <w:caps w:val="0"/>
          <w:spacing w:val="0"/>
          <w:sz w:val="28"/>
          <w:szCs w:val="28"/>
          <w:highlight w:val="none"/>
          <w:shd w:val="clear"/>
          <w:lang w:eastAsia="zh-CN"/>
        </w:rPr>
        <w:t>）</w:t>
      </w:r>
      <w:r>
        <w:rPr>
          <w:rFonts w:hint="eastAsia" w:ascii="Times New Roman" w:hAnsi="Times New Roman" w:eastAsia="仿宋" w:cs="Times New Roman"/>
          <w:i w:val="0"/>
          <w:iCs w:val="0"/>
          <w:caps w:val="0"/>
          <w:spacing w:val="0"/>
          <w:sz w:val="28"/>
          <w:szCs w:val="28"/>
          <w:highlight w:val="none"/>
          <w:shd w:val="clear"/>
          <w:lang w:eastAsia="zh-CN"/>
        </w:rPr>
        <w:t>。</w:t>
      </w:r>
    </w:p>
    <w:p>
      <w:pPr>
        <w:pStyle w:val="6"/>
        <w:numPr>
          <w:ilvl w:val="2"/>
          <w:numId w:val="27"/>
        </w:numPr>
      </w:pPr>
      <w:bookmarkStart w:id="241" w:name="_Toc113925500"/>
      <w:bookmarkStart w:id="242" w:name="_Toc113925752"/>
      <w:r>
        <w:rPr>
          <w:rFonts w:hint="eastAsia"/>
        </w:rPr>
        <w:t>相关规划</w:t>
      </w:r>
      <w:bookmarkEnd w:id="241"/>
      <w:bookmarkEnd w:id="242"/>
    </w:p>
    <w:p>
      <w:pPr>
        <w:pStyle w:val="47"/>
        <w:numPr>
          <w:ilvl w:val="0"/>
          <w:numId w:val="32"/>
        </w:numPr>
        <w:rPr>
          <w:rFonts w:cs="Times New Roman"/>
        </w:rPr>
      </w:pPr>
      <w:r>
        <w:rPr>
          <w:rFonts w:hint="eastAsia" w:cs="Times New Roman"/>
        </w:rPr>
        <w:t>《石门县2022年国民经济和社会发展统计公报》（202</w:t>
      </w:r>
      <w:r>
        <w:rPr>
          <w:rFonts w:cs="Times New Roman"/>
        </w:rPr>
        <w:t>3</w:t>
      </w:r>
      <w:r>
        <w:rPr>
          <w:rFonts w:hint="eastAsia" w:cs="Times New Roman"/>
        </w:rPr>
        <w:t>年发布）；</w:t>
      </w:r>
    </w:p>
    <w:p>
      <w:pPr>
        <w:pStyle w:val="47"/>
        <w:numPr>
          <w:ilvl w:val="0"/>
          <w:numId w:val="32"/>
        </w:numPr>
        <w:rPr>
          <w:rFonts w:cs="Times New Roman"/>
        </w:rPr>
      </w:pPr>
      <w:r>
        <w:rPr>
          <w:rFonts w:hint="eastAsia" w:cs="Times New Roman"/>
        </w:rPr>
        <w:t>《全国湿地保护规划（2022～2030年）》（2022年10月）；</w:t>
      </w:r>
    </w:p>
    <w:p>
      <w:pPr>
        <w:pStyle w:val="47"/>
        <w:numPr>
          <w:ilvl w:val="0"/>
          <w:numId w:val="32"/>
        </w:numPr>
        <w:rPr>
          <w:rFonts w:cs="Times New Roman"/>
        </w:rPr>
      </w:pPr>
      <w:r>
        <w:rPr>
          <w:rFonts w:hint="eastAsia" w:cs="Times New Roman"/>
        </w:rPr>
        <w:t>《2</w:t>
      </w:r>
      <w:r>
        <w:rPr>
          <w:rFonts w:cs="Times New Roman"/>
        </w:rPr>
        <w:t>021</w:t>
      </w:r>
      <w:r>
        <w:rPr>
          <w:rFonts w:hint="eastAsia" w:cs="Times New Roman"/>
        </w:rPr>
        <w:t>年石门县环境质量年报》（2022年3月发布）</w:t>
      </w:r>
    </w:p>
    <w:p>
      <w:pPr>
        <w:pStyle w:val="47"/>
        <w:numPr>
          <w:ilvl w:val="0"/>
          <w:numId w:val="32"/>
        </w:numPr>
        <w:rPr>
          <w:rFonts w:cs="Times New Roman"/>
        </w:rPr>
      </w:pPr>
      <w:r>
        <w:rPr>
          <w:rFonts w:hint="eastAsia" w:cs="Times New Roman"/>
        </w:rPr>
        <w:t>《湖南省国民经济和社会发展第十四个五年规划和二〇三五年远景目标纲要》（2021年1月29日湖南省第十三届人民代表大会第四次会议批准）；</w:t>
      </w:r>
    </w:p>
    <w:p>
      <w:pPr>
        <w:pStyle w:val="47"/>
        <w:numPr>
          <w:ilvl w:val="0"/>
          <w:numId w:val="32"/>
        </w:numPr>
        <w:rPr>
          <w:rFonts w:cs="Times New Roman"/>
        </w:rPr>
      </w:pPr>
      <w:r>
        <w:rPr>
          <w:rFonts w:hint="eastAsia" w:cs="Times New Roman"/>
        </w:rPr>
        <w:t>《石门县国民经济和社会发展第十四个五年规划和2035年远景目标纲要》；（2</w:t>
      </w:r>
      <w:r>
        <w:rPr>
          <w:rFonts w:cs="Times New Roman"/>
        </w:rPr>
        <w:t>021</w:t>
      </w:r>
      <w:r>
        <w:rPr>
          <w:rFonts w:hint="eastAsia" w:cs="Times New Roman"/>
        </w:rPr>
        <w:t>年6月）</w:t>
      </w:r>
    </w:p>
    <w:p>
      <w:pPr>
        <w:pStyle w:val="47"/>
        <w:numPr>
          <w:ilvl w:val="0"/>
          <w:numId w:val="32"/>
        </w:numPr>
        <w:rPr>
          <w:rFonts w:cs="Times New Roman"/>
        </w:rPr>
      </w:pPr>
      <w:r>
        <w:rPr>
          <w:rFonts w:hint="eastAsia" w:cs="Times New Roman"/>
        </w:rPr>
        <w:t>《石门县国民经济和社会发展第十四个五年规划》（2021年1月21日批准）；</w:t>
      </w:r>
    </w:p>
    <w:p>
      <w:pPr>
        <w:pStyle w:val="47"/>
        <w:numPr>
          <w:ilvl w:val="0"/>
          <w:numId w:val="32"/>
        </w:numPr>
        <w:rPr>
          <w:rFonts w:cs="Times New Roman"/>
        </w:rPr>
      </w:pPr>
      <w:r>
        <w:rPr>
          <w:rFonts w:hint="eastAsia" w:cs="Times New Roman"/>
        </w:rPr>
        <w:t>《国家环境保护十三五规划纲要》（国家环保部2016年2月）；</w:t>
      </w:r>
    </w:p>
    <w:p>
      <w:pPr>
        <w:pStyle w:val="47"/>
        <w:numPr>
          <w:ilvl w:val="0"/>
          <w:numId w:val="32"/>
        </w:numPr>
        <w:rPr>
          <w:rFonts w:cs="Times New Roman"/>
        </w:rPr>
      </w:pPr>
      <w:r>
        <w:rPr>
          <w:rFonts w:hint="eastAsia" w:cs="Times New Roman"/>
        </w:rPr>
        <w:t>《湖南省湘江流域生态环境综合治理规划（2010～2025年）》；</w:t>
      </w:r>
    </w:p>
    <w:p>
      <w:pPr>
        <w:pStyle w:val="47"/>
        <w:numPr>
          <w:ilvl w:val="0"/>
          <w:numId w:val="32"/>
        </w:numPr>
        <w:rPr>
          <w:rFonts w:cs="Times New Roman"/>
        </w:rPr>
      </w:pPr>
      <w:r>
        <w:rPr>
          <w:rFonts w:hint="eastAsia" w:cs="Times New Roman"/>
        </w:rPr>
        <w:t>《全国湿地保护工程规划（2004～2030）》（国家林业局、科技部等10部委，2004年2月）。</w:t>
      </w:r>
    </w:p>
    <w:p>
      <w:pPr>
        <w:pStyle w:val="5"/>
        <w:numPr>
          <w:ilvl w:val="1"/>
          <w:numId w:val="33"/>
        </w:numPr>
        <w:tabs>
          <w:tab w:val="left" w:pos="420"/>
          <w:tab w:val="clear" w:pos="0"/>
        </w:tabs>
        <w:spacing w:before="197"/>
      </w:pPr>
      <w:bookmarkStart w:id="243" w:name="_Toc114084648"/>
      <w:bookmarkStart w:id="244" w:name="_Toc26632"/>
      <w:bookmarkStart w:id="245" w:name="_Toc1272"/>
      <w:bookmarkStart w:id="246" w:name="_Toc113925753"/>
      <w:bookmarkStart w:id="247" w:name="_Toc113925501"/>
      <w:bookmarkStart w:id="248" w:name="_Toc117114376"/>
      <w:r>
        <w:rPr>
          <w:rFonts w:hint="eastAsia"/>
        </w:rPr>
        <w:t>规划总体目标与分期目标</w:t>
      </w:r>
      <w:bookmarkEnd w:id="243"/>
      <w:bookmarkEnd w:id="244"/>
      <w:bookmarkEnd w:id="245"/>
      <w:bookmarkEnd w:id="246"/>
      <w:bookmarkEnd w:id="247"/>
      <w:bookmarkEnd w:id="248"/>
    </w:p>
    <w:p>
      <w:pPr>
        <w:pStyle w:val="6"/>
        <w:numPr>
          <w:ilvl w:val="2"/>
          <w:numId w:val="34"/>
        </w:numPr>
        <w:tabs>
          <w:tab w:val="clear" w:pos="0"/>
        </w:tabs>
      </w:pPr>
      <w:bookmarkStart w:id="249" w:name="_Toc113925754"/>
      <w:bookmarkStart w:id="250" w:name="_Toc113925502"/>
      <w:r>
        <w:rPr>
          <w:rFonts w:hint="eastAsia"/>
        </w:rPr>
        <w:t>建设期</w:t>
      </w:r>
      <w:bookmarkEnd w:id="249"/>
      <w:bookmarkEnd w:id="250"/>
    </w:p>
    <w:p>
      <w:pPr>
        <w:ind w:firstLine="560"/>
        <w:rPr>
          <w:rFonts w:cs="Times New Roman"/>
        </w:rPr>
      </w:pPr>
      <w:r>
        <w:rPr>
          <w:rFonts w:hint="eastAsia" w:cs="Times New Roman"/>
        </w:rPr>
        <w:t>仙阳湖国家湿地公园建设期为</w:t>
      </w:r>
      <w:r>
        <w:rPr>
          <w:rFonts w:cs="Times New Roman"/>
        </w:rPr>
        <w:t>202</w:t>
      </w:r>
      <w:r>
        <w:rPr>
          <w:rFonts w:hint="eastAsia" w:cs="Times New Roman"/>
        </w:rPr>
        <w:t>3</w:t>
      </w:r>
      <w:r>
        <w:rPr>
          <w:rFonts w:cs="Times New Roman"/>
        </w:rPr>
        <w:t>~2030</w:t>
      </w:r>
      <w:r>
        <w:rPr>
          <w:rFonts w:hint="eastAsia" w:cs="Times New Roman"/>
        </w:rPr>
        <w:t>年，共8年，分前期和后期。前期：20</w:t>
      </w:r>
      <w:r>
        <w:rPr>
          <w:rFonts w:cs="Times New Roman"/>
        </w:rPr>
        <w:t>2</w:t>
      </w:r>
      <w:r>
        <w:rPr>
          <w:rFonts w:hint="eastAsia" w:cs="Times New Roman"/>
        </w:rPr>
        <w:t>3～20</w:t>
      </w:r>
      <w:r>
        <w:rPr>
          <w:rFonts w:cs="Times New Roman"/>
        </w:rPr>
        <w:t>2</w:t>
      </w:r>
      <w:r>
        <w:rPr>
          <w:rFonts w:hint="eastAsia" w:cs="Times New Roman"/>
        </w:rPr>
        <w:t>6年，</w:t>
      </w:r>
      <w:r>
        <w:rPr>
          <w:rFonts w:cs="Times New Roman"/>
        </w:rPr>
        <w:t>4</w:t>
      </w:r>
      <w:r>
        <w:rPr>
          <w:rFonts w:hint="eastAsia" w:cs="Times New Roman"/>
        </w:rPr>
        <w:t>年；后期：2027～20</w:t>
      </w:r>
      <w:r>
        <w:rPr>
          <w:rFonts w:cs="Times New Roman"/>
        </w:rPr>
        <w:t>30</w:t>
      </w:r>
      <w:r>
        <w:rPr>
          <w:rFonts w:hint="eastAsia" w:cs="Times New Roman"/>
        </w:rPr>
        <w:t>年，4年。</w:t>
      </w:r>
    </w:p>
    <w:p>
      <w:pPr>
        <w:pStyle w:val="6"/>
        <w:numPr>
          <w:ilvl w:val="2"/>
          <w:numId w:val="35"/>
        </w:numPr>
      </w:pPr>
      <w:bookmarkStart w:id="251" w:name="_Toc113925755"/>
      <w:bookmarkStart w:id="252" w:name="_Toc113925503"/>
      <w:r>
        <w:rPr>
          <w:rFonts w:hint="eastAsia"/>
        </w:rPr>
        <w:t>总体目标</w:t>
      </w:r>
      <w:bookmarkEnd w:id="251"/>
      <w:bookmarkEnd w:id="252"/>
    </w:p>
    <w:p>
      <w:pPr>
        <w:ind w:firstLine="560"/>
        <w:rPr>
          <w:rFonts w:ascii="仿宋" w:hAnsi="仿宋" w:cs="仿宋"/>
        </w:rPr>
      </w:pPr>
      <w:r>
        <w:rPr>
          <w:rFonts w:hint="eastAsia" w:ascii="仿宋" w:hAnsi="仿宋" w:cs="仿宋"/>
        </w:rPr>
        <w:t>以水质保护和湿地生态系统保育为核心，加强湿地及生物多样性保护与恢复，维护湿地生态系统的生态特性和基本功能，构建洞庭湖上游良好的水源涵养区和区域生态安全屏障；充分发挥和利用湿地多用途功能，保护、挖掘湿地公园的自然、历史、人文景观资源，打造具有湖湘文化、民俗风情特色的湿地生态文化旅游示范区，实现人与自然和谐、区域社会经济可持续发展；形成一个主题鲜明、风格独特、功能完善、与周边区域协调发展的国家湿地公园。</w:t>
      </w:r>
    </w:p>
    <w:p>
      <w:pPr>
        <w:pStyle w:val="6"/>
        <w:numPr>
          <w:ilvl w:val="2"/>
          <w:numId w:val="36"/>
        </w:numPr>
      </w:pPr>
      <w:bookmarkStart w:id="253" w:name="_Toc113925504"/>
      <w:bookmarkStart w:id="254" w:name="_Toc113925756"/>
      <w:r>
        <w:rPr>
          <w:rFonts w:hint="eastAsia"/>
        </w:rPr>
        <w:t>具体目标</w:t>
      </w:r>
      <w:bookmarkEnd w:id="253"/>
      <w:bookmarkEnd w:id="254"/>
    </w:p>
    <w:p>
      <w:pPr>
        <w:pStyle w:val="47"/>
        <w:numPr>
          <w:ilvl w:val="0"/>
          <w:numId w:val="37"/>
        </w:numPr>
        <w:ind w:firstLineChars="0"/>
        <w:rPr>
          <w:rFonts w:cs="Times New Roman"/>
        </w:rPr>
      </w:pPr>
      <w:r>
        <w:rPr>
          <w:rFonts w:hint="eastAsia" w:cs="Times New Roman"/>
        </w:rPr>
        <w:t>通过实施栖息地保护、水生植被恢复等方式，有效提升湿地公园区域生态环境质量，改善当地动植物生存的生境适宜性和环境质量，使湿地公园内自然化率达到90%以上。</w:t>
      </w:r>
    </w:p>
    <w:p>
      <w:pPr>
        <w:pStyle w:val="47"/>
        <w:numPr>
          <w:ilvl w:val="0"/>
          <w:numId w:val="37"/>
        </w:numPr>
        <w:ind w:firstLineChars="0"/>
        <w:rPr>
          <w:rFonts w:cs="Times New Roman"/>
        </w:rPr>
      </w:pPr>
      <w:r>
        <w:rPr>
          <w:rFonts w:hint="eastAsia" w:cs="Times New Roman"/>
        </w:rPr>
        <w:t>通过对湿地公园周边的生活污水、垃圾等生活污染的有效控制，严格控制面源和点源污染，保障下游地区水资源安全，确保湿地公园内水体水质优于国家标准</w:t>
      </w:r>
      <w:r>
        <w:rPr>
          <w:rFonts w:cs="Times New Roman"/>
        </w:rPr>
        <w:t>Ⅱ</w:t>
      </w:r>
      <w:r>
        <w:rPr>
          <w:rFonts w:hint="eastAsia" w:cs="Times New Roman"/>
        </w:rPr>
        <w:t>类。</w:t>
      </w:r>
    </w:p>
    <w:p>
      <w:pPr>
        <w:pStyle w:val="47"/>
        <w:numPr>
          <w:ilvl w:val="0"/>
          <w:numId w:val="37"/>
        </w:numPr>
        <w:ind w:firstLineChars="0"/>
        <w:rPr>
          <w:rFonts w:cs="Times New Roman"/>
        </w:rPr>
      </w:pPr>
      <w:r>
        <w:rPr>
          <w:rFonts w:hint="eastAsia" w:cs="Times New Roman"/>
        </w:rPr>
        <w:t>通过实施洲滩生境及水禽栖息地保护、裸沙洲滩草滩修复等，进一步加强湿地保护与恢复，提高湿地改善环境的综合功能。</w:t>
      </w:r>
    </w:p>
    <w:p>
      <w:pPr>
        <w:pStyle w:val="47"/>
        <w:numPr>
          <w:ilvl w:val="0"/>
          <w:numId w:val="37"/>
        </w:numPr>
        <w:ind w:firstLineChars="0"/>
        <w:rPr>
          <w:rFonts w:cs="Times New Roman"/>
        </w:rPr>
      </w:pPr>
      <w:r>
        <w:rPr>
          <w:rFonts w:hint="eastAsia" w:cs="Times New Roman"/>
        </w:rPr>
        <w:t>通过综合湿地公园景观营造与科普宣教设施建设，将湿地生态观光休闲和环保科普宣教相结合，打造集生态旅游、科普宣传为一体的宣教基地。</w:t>
      </w:r>
    </w:p>
    <w:p>
      <w:pPr>
        <w:pStyle w:val="6"/>
        <w:numPr>
          <w:ilvl w:val="2"/>
          <w:numId w:val="38"/>
        </w:numPr>
      </w:pPr>
      <w:bookmarkStart w:id="255" w:name="_Toc113925757"/>
      <w:bookmarkStart w:id="256" w:name="_Toc113925505"/>
      <w:r>
        <w:rPr>
          <w:rFonts w:hint="eastAsia"/>
        </w:rPr>
        <w:t>分期建设目标</w:t>
      </w:r>
      <w:bookmarkEnd w:id="255"/>
      <w:bookmarkEnd w:id="256"/>
    </w:p>
    <w:p>
      <w:pPr>
        <w:pStyle w:val="47"/>
        <w:numPr>
          <w:ilvl w:val="0"/>
          <w:numId w:val="39"/>
        </w:numPr>
        <w:rPr>
          <w:rFonts w:cs="Times New Roman"/>
        </w:rPr>
      </w:pPr>
      <w:r>
        <w:rPr>
          <w:rFonts w:hint="eastAsia" w:cs="Times New Roman"/>
        </w:rPr>
        <w:t>前期目标（20</w:t>
      </w:r>
      <w:r>
        <w:rPr>
          <w:rFonts w:cs="Times New Roman"/>
        </w:rPr>
        <w:t>2</w:t>
      </w:r>
      <w:r>
        <w:rPr>
          <w:rFonts w:hint="eastAsia" w:cs="Times New Roman"/>
        </w:rPr>
        <w:t>3～20</w:t>
      </w:r>
      <w:r>
        <w:rPr>
          <w:rFonts w:cs="Times New Roman"/>
        </w:rPr>
        <w:t>2</w:t>
      </w:r>
      <w:r>
        <w:rPr>
          <w:rFonts w:hint="eastAsia" w:cs="Times New Roman"/>
        </w:rPr>
        <w:t>6年）</w:t>
      </w:r>
    </w:p>
    <w:p>
      <w:pPr>
        <w:ind w:firstLine="560"/>
        <w:rPr>
          <w:rFonts w:cs="Times New Roman"/>
        </w:rPr>
      </w:pPr>
      <w:r>
        <w:rPr>
          <w:rFonts w:hint="eastAsia" w:cs="Times New Roman"/>
        </w:rPr>
        <w:t>提质改善水质，恢复受损的湿地生境，优化湿地及生物多样性保护管理体系，完善湿地保护管理基础设施，构建完善的科研监测体系；对</w:t>
      </w:r>
      <w:r>
        <w:rPr>
          <w:rFonts w:hint="eastAsia" w:cs="Times New Roman"/>
          <w:lang w:eastAsia="zh-CN"/>
        </w:rPr>
        <w:t>生态</w:t>
      </w:r>
      <w:r>
        <w:rPr>
          <w:rFonts w:hint="eastAsia" w:cs="Times New Roman"/>
        </w:rPr>
        <w:t>保育区内湿地生态系统和生物多样性进行严格的保护；积极实施生物栖息地（生境）恢复和修复以及水质的保育，使湿地公园的生态功能得到提升并发挥；积极开展以科普宣教、文化体验、康体健身为主体的湿地资源可持续利用，提高湿地公园的自养能力，保护管理体系逐步完善，形成良好的发展态势。</w:t>
      </w:r>
    </w:p>
    <w:p>
      <w:pPr>
        <w:pStyle w:val="47"/>
        <w:numPr>
          <w:ilvl w:val="0"/>
          <w:numId w:val="39"/>
        </w:numPr>
        <w:rPr>
          <w:rFonts w:cs="Times New Roman"/>
        </w:rPr>
      </w:pPr>
      <w:r>
        <w:rPr>
          <w:rFonts w:hint="eastAsia" w:cs="Times New Roman"/>
        </w:rPr>
        <w:t>后期目标（2027～20</w:t>
      </w:r>
      <w:r>
        <w:rPr>
          <w:rFonts w:cs="Times New Roman"/>
        </w:rPr>
        <w:t>30</w:t>
      </w:r>
      <w:r>
        <w:rPr>
          <w:rFonts w:hint="eastAsia" w:cs="Times New Roman"/>
        </w:rPr>
        <w:t>年）</w:t>
      </w:r>
    </w:p>
    <w:p>
      <w:pPr>
        <w:ind w:firstLine="560"/>
        <w:rPr>
          <w:rFonts w:cs="Times New Roman"/>
        </w:rPr>
      </w:pPr>
      <w:r>
        <w:rPr>
          <w:rFonts w:hint="eastAsia" w:cs="Times New Roman"/>
        </w:rPr>
        <w:t>进一步提高仙阳湖国家湿地公园的湿地生态系统保护与恢复能力、科研监测水平，构建完善的科普宣教系统，科普教育和环境保护教育普及率达100%，湿地保护率达到100%，社区群众对湿地文化认知率达到95%以上。形成完善的湿地保护管理体系和业务过硬、专业完善的湿地保护管理队伍；建成结构合理、功能稳定的湿地生态系统；创建全国科普教育基地，实现生态保护与生态旅游共同发展的“双赢”局面；将湿地公园建成常德市乃至湖南省的生态长廊、国家湿地公园建设的典范、湿地生态旅游胜地。</w:t>
      </w:r>
    </w:p>
    <w:p>
      <w:pPr>
        <w:pStyle w:val="5"/>
        <w:numPr>
          <w:ilvl w:val="1"/>
          <w:numId w:val="40"/>
        </w:numPr>
        <w:spacing w:before="197"/>
      </w:pPr>
      <w:bookmarkStart w:id="257" w:name="_Toc117114377"/>
      <w:bookmarkStart w:id="258" w:name="_Toc114084649"/>
      <w:bookmarkStart w:id="259" w:name="_Toc113925506"/>
      <w:bookmarkStart w:id="260" w:name="_Toc12131"/>
      <w:bookmarkStart w:id="261" w:name="_Toc113925758"/>
      <w:bookmarkStart w:id="262" w:name="_Toc3716"/>
      <w:r>
        <w:rPr>
          <w:rFonts w:hint="eastAsia"/>
        </w:rPr>
        <w:t>功能分区</w:t>
      </w:r>
      <w:bookmarkEnd w:id="257"/>
      <w:bookmarkEnd w:id="258"/>
      <w:bookmarkEnd w:id="259"/>
      <w:bookmarkEnd w:id="260"/>
      <w:bookmarkEnd w:id="261"/>
      <w:bookmarkEnd w:id="262"/>
    </w:p>
    <w:p>
      <w:pPr>
        <w:ind w:firstLine="560"/>
        <w:rPr>
          <w:rFonts w:cs="Times New Roman"/>
        </w:rPr>
      </w:pPr>
      <w:r>
        <w:rPr>
          <w:rFonts w:hint="eastAsia" w:cs="Times New Roman"/>
        </w:rPr>
        <w:t>本次功能区划调整，按照《国家林业局湿地保护管理中心关于印发&lt;湿地公园总体规划导则&gt;的通知》（林湿综字〔2018〕1号）的要求，在坚持自然单元完整性、相对统一性、可持续开发利用等原则的基础上，充分参考《湖南石门仙阳湖国家湿地公园总体规划（2014—2020年）》（以下简称“2014版规划”）功能分区和总体布局中各斑块的功能性质，经过实地考察、广泛调研和科学分析，严格保护渫水、峡峪河、商溪河、仙阳河、仙阳湖水域范围，同时保留适当的合理利用区，开展适度的生态旅游，为社区居民谋生计，化解生态保护与发展的矛盾，降低生态承载压力。将2014版规划所区划的保育区、恢复重建区、宣教展示区、合理利用区、管理服务区，按照《湿地公园总体规划导则》的要求合并为</w:t>
      </w:r>
      <w:r>
        <w:rPr>
          <w:rFonts w:hint="eastAsia" w:cs="Times New Roman"/>
          <w:lang w:eastAsia="zh-CN"/>
        </w:rPr>
        <w:t>生态</w:t>
      </w:r>
      <w:r>
        <w:rPr>
          <w:rFonts w:hint="eastAsia" w:cs="Times New Roman"/>
        </w:rPr>
        <w:t>保育区和合理利用区，详见下表5-1。</w:t>
      </w:r>
    </w:p>
    <w:p>
      <w:pPr>
        <w:pStyle w:val="14"/>
        <w:pageBreakBefore/>
        <w:spacing w:before="197" w:after="0" w:afterLines="0"/>
        <w:rPr>
          <w:rFonts w:cs="Times New Roman"/>
          <w:sz w:val="24"/>
          <w:szCs w:val="24"/>
        </w:rPr>
      </w:pPr>
      <w:r>
        <w:rPr>
          <w:rFonts w:cs="Times New Roman"/>
          <w:sz w:val="24"/>
          <w:szCs w:val="24"/>
        </w:rPr>
        <w:t>仙阳湖国家湿地公园功能分区表</w:t>
      </w:r>
    </w:p>
    <w:p>
      <w:pPr>
        <w:spacing w:line="240" w:lineRule="auto"/>
        <w:ind w:firstLine="0" w:firstLineChars="0"/>
        <w:rPr>
          <w:rFonts w:cs="Times New Roman"/>
          <w:sz w:val="21"/>
          <w:szCs w:val="21"/>
        </w:rPr>
      </w:pPr>
      <w:r>
        <w:rPr>
          <w:rFonts w:eastAsia="黑体" w:cs="Times New Roman"/>
          <w:sz w:val="21"/>
          <w:szCs w:val="21"/>
        </w:rPr>
        <w:t>表</w:t>
      </w:r>
      <w:r>
        <w:rPr>
          <w:rFonts w:eastAsia="黑体" w:cs="Times New Roman"/>
          <w:sz w:val="21"/>
          <w:szCs w:val="21"/>
        </w:rPr>
        <w:fldChar w:fldCharType="begin"/>
      </w:r>
      <w:r>
        <w:rPr>
          <w:rFonts w:eastAsia="黑体" w:cs="Times New Roman"/>
          <w:sz w:val="21"/>
          <w:szCs w:val="21"/>
        </w:rPr>
        <w:instrText xml:space="preserve"> STYLEREF 1 \s </w:instrText>
      </w:r>
      <w:r>
        <w:rPr>
          <w:rFonts w:eastAsia="黑体" w:cs="Times New Roman"/>
          <w:sz w:val="21"/>
          <w:szCs w:val="21"/>
        </w:rPr>
        <w:fldChar w:fldCharType="separate"/>
      </w:r>
      <w:r>
        <w:rPr>
          <w:rFonts w:eastAsia="黑体" w:cs="Times New Roman"/>
          <w:sz w:val="21"/>
          <w:szCs w:val="21"/>
        </w:rPr>
        <w:t>5</w:t>
      </w:r>
      <w:r>
        <w:rPr>
          <w:rFonts w:eastAsia="黑体" w:cs="Times New Roman"/>
          <w:sz w:val="21"/>
          <w:szCs w:val="21"/>
        </w:rPr>
        <w:fldChar w:fldCharType="end"/>
      </w:r>
      <w:r>
        <w:rPr>
          <w:rFonts w:eastAsia="黑体" w:cs="Times New Roman"/>
          <w:sz w:val="21"/>
          <w:szCs w:val="21"/>
        </w:rPr>
        <w:t>-</w:t>
      </w:r>
      <w:r>
        <w:rPr>
          <w:rFonts w:eastAsia="黑体" w:cs="Times New Roman"/>
          <w:sz w:val="21"/>
          <w:szCs w:val="21"/>
        </w:rPr>
        <w:fldChar w:fldCharType="begin"/>
      </w:r>
      <w:r>
        <w:rPr>
          <w:rFonts w:eastAsia="黑体" w:cs="Times New Roman"/>
          <w:sz w:val="21"/>
          <w:szCs w:val="21"/>
        </w:rPr>
        <w:instrText xml:space="preserve"> SEQ 表 \* ARABIC \s 1 </w:instrText>
      </w:r>
      <w:r>
        <w:rPr>
          <w:rFonts w:eastAsia="黑体" w:cs="Times New Roman"/>
          <w:sz w:val="21"/>
          <w:szCs w:val="21"/>
        </w:rPr>
        <w:fldChar w:fldCharType="separate"/>
      </w:r>
      <w:r>
        <w:rPr>
          <w:rFonts w:eastAsia="黑体" w:cs="Times New Roman"/>
          <w:sz w:val="21"/>
          <w:szCs w:val="21"/>
        </w:rPr>
        <w:t>1</w:t>
      </w:r>
      <w:r>
        <w:rPr>
          <w:rFonts w:eastAsia="黑体" w:cs="Times New Roman"/>
          <w:sz w:val="21"/>
          <w:szCs w:val="21"/>
        </w:rPr>
        <w:fldChar w:fldCharType="end"/>
      </w:r>
      <w:r>
        <w:rPr>
          <w:rFonts w:cs="Times New Roman"/>
          <w:sz w:val="21"/>
          <w:szCs w:val="21"/>
        </w:rPr>
        <w:t xml:space="preserve">                                                                单位：公顷，%</w:t>
      </w:r>
    </w:p>
    <w:tbl>
      <w:tblPr>
        <w:tblStyle w:val="33"/>
        <w:tblW w:w="4886" w:type="pct"/>
        <w:tblInd w:w="12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7"/>
        <w:gridCol w:w="857"/>
        <w:gridCol w:w="1534"/>
        <w:gridCol w:w="922"/>
        <w:gridCol w:w="1056"/>
        <w:gridCol w:w="1307"/>
        <w:gridCol w:w="1308"/>
        <w:gridCol w:w="13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572" w:type="dxa"/>
            <w:vMerge w:val="restart"/>
            <w:vAlign w:val="center"/>
          </w:tcPr>
          <w:p>
            <w:pPr>
              <w:pStyle w:val="44"/>
              <w:rPr>
                <w:rFonts w:eastAsia="仿宋" w:cs="Times New Roman"/>
                <w:szCs w:val="21"/>
              </w:rPr>
            </w:pPr>
            <w:r>
              <w:rPr>
                <w:rFonts w:eastAsia="仿宋" w:cs="Times New Roman"/>
                <w:szCs w:val="21"/>
              </w:rPr>
              <w:t>序号</w:t>
            </w:r>
          </w:p>
        </w:tc>
        <w:tc>
          <w:tcPr>
            <w:tcW w:w="836" w:type="dxa"/>
            <w:vMerge w:val="restart"/>
            <w:vAlign w:val="center"/>
          </w:tcPr>
          <w:p>
            <w:pPr>
              <w:pStyle w:val="44"/>
              <w:rPr>
                <w:rFonts w:eastAsia="仿宋" w:cs="Times New Roman"/>
                <w:szCs w:val="21"/>
              </w:rPr>
            </w:pPr>
            <w:r>
              <w:rPr>
                <w:rFonts w:eastAsia="仿宋" w:cs="Times New Roman"/>
                <w:szCs w:val="21"/>
              </w:rPr>
              <w:t>功能区</w:t>
            </w:r>
          </w:p>
        </w:tc>
        <w:tc>
          <w:tcPr>
            <w:tcW w:w="1496" w:type="dxa"/>
            <w:vMerge w:val="restart"/>
            <w:vAlign w:val="center"/>
          </w:tcPr>
          <w:p>
            <w:pPr>
              <w:pStyle w:val="44"/>
              <w:rPr>
                <w:rFonts w:eastAsia="仿宋" w:cs="Times New Roman"/>
                <w:szCs w:val="21"/>
              </w:rPr>
            </w:pPr>
            <w:r>
              <w:rPr>
                <w:rFonts w:eastAsia="仿宋" w:cs="Times New Roman"/>
                <w:szCs w:val="21"/>
              </w:rPr>
              <w:t>位置</w:t>
            </w:r>
          </w:p>
        </w:tc>
        <w:tc>
          <w:tcPr>
            <w:tcW w:w="1929" w:type="dxa"/>
            <w:gridSpan w:val="2"/>
            <w:vAlign w:val="center"/>
          </w:tcPr>
          <w:p>
            <w:pPr>
              <w:pStyle w:val="44"/>
              <w:rPr>
                <w:rFonts w:eastAsia="仿宋" w:cs="Times New Roman"/>
                <w:szCs w:val="21"/>
              </w:rPr>
            </w:pPr>
            <w:r>
              <w:rPr>
                <w:rFonts w:eastAsia="仿宋" w:cs="Times New Roman"/>
                <w:szCs w:val="21"/>
              </w:rPr>
              <w:t>面积</w:t>
            </w:r>
          </w:p>
        </w:tc>
        <w:tc>
          <w:tcPr>
            <w:tcW w:w="2551" w:type="dxa"/>
            <w:gridSpan w:val="2"/>
            <w:vAlign w:val="center"/>
          </w:tcPr>
          <w:p>
            <w:pPr>
              <w:pStyle w:val="44"/>
              <w:rPr>
                <w:rFonts w:eastAsia="仿宋" w:cs="Times New Roman"/>
                <w:szCs w:val="21"/>
              </w:rPr>
            </w:pPr>
            <w:r>
              <w:rPr>
                <w:rFonts w:eastAsia="仿宋" w:cs="Times New Roman"/>
                <w:szCs w:val="21"/>
              </w:rPr>
              <w:t>湿地面积</w:t>
            </w:r>
          </w:p>
        </w:tc>
        <w:tc>
          <w:tcPr>
            <w:tcW w:w="1304" w:type="dxa"/>
            <w:vMerge w:val="restart"/>
            <w:vAlign w:val="center"/>
          </w:tcPr>
          <w:p>
            <w:pPr>
              <w:pStyle w:val="44"/>
              <w:rPr>
                <w:rFonts w:eastAsia="仿宋" w:cs="Times New Roman"/>
                <w:szCs w:val="21"/>
              </w:rPr>
            </w:pPr>
            <w:r>
              <w:rPr>
                <w:rFonts w:eastAsia="仿宋" w:cs="Times New Roman"/>
                <w:szCs w:val="21"/>
              </w:rPr>
              <w:t>主导功能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572" w:type="dxa"/>
            <w:vMerge w:val="continue"/>
            <w:vAlign w:val="center"/>
          </w:tcPr>
          <w:p>
            <w:pPr>
              <w:pStyle w:val="44"/>
              <w:rPr>
                <w:rFonts w:eastAsia="仿宋" w:cs="Times New Roman"/>
                <w:szCs w:val="21"/>
              </w:rPr>
            </w:pPr>
          </w:p>
        </w:tc>
        <w:tc>
          <w:tcPr>
            <w:tcW w:w="836" w:type="dxa"/>
            <w:vMerge w:val="continue"/>
            <w:vAlign w:val="center"/>
          </w:tcPr>
          <w:p>
            <w:pPr>
              <w:pStyle w:val="44"/>
              <w:rPr>
                <w:rFonts w:eastAsia="仿宋" w:cs="Times New Roman"/>
                <w:szCs w:val="21"/>
              </w:rPr>
            </w:pPr>
          </w:p>
        </w:tc>
        <w:tc>
          <w:tcPr>
            <w:tcW w:w="1496" w:type="dxa"/>
            <w:vMerge w:val="continue"/>
            <w:vAlign w:val="center"/>
          </w:tcPr>
          <w:p>
            <w:pPr>
              <w:pStyle w:val="44"/>
              <w:rPr>
                <w:rFonts w:eastAsia="仿宋" w:cs="Times New Roman"/>
                <w:szCs w:val="21"/>
              </w:rPr>
            </w:pPr>
          </w:p>
        </w:tc>
        <w:tc>
          <w:tcPr>
            <w:tcW w:w="899" w:type="dxa"/>
            <w:vAlign w:val="center"/>
          </w:tcPr>
          <w:p>
            <w:pPr>
              <w:pStyle w:val="44"/>
              <w:rPr>
                <w:rFonts w:eastAsia="仿宋" w:cs="Times New Roman"/>
                <w:szCs w:val="21"/>
              </w:rPr>
            </w:pPr>
            <w:r>
              <w:rPr>
                <w:rFonts w:eastAsia="仿宋" w:cs="Times New Roman"/>
                <w:szCs w:val="21"/>
              </w:rPr>
              <w:t>小计</w:t>
            </w:r>
          </w:p>
        </w:tc>
        <w:tc>
          <w:tcPr>
            <w:tcW w:w="1030" w:type="dxa"/>
            <w:vAlign w:val="center"/>
          </w:tcPr>
          <w:p>
            <w:pPr>
              <w:pStyle w:val="44"/>
              <w:rPr>
                <w:rFonts w:eastAsia="仿宋" w:cs="Times New Roman"/>
                <w:szCs w:val="21"/>
              </w:rPr>
            </w:pPr>
            <w:r>
              <w:rPr>
                <w:rFonts w:eastAsia="仿宋" w:cs="Times New Roman"/>
                <w:szCs w:val="21"/>
              </w:rPr>
              <w:t>百分比</w:t>
            </w:r>
          </w:p>
        </w:tc>
        <w:tc>
          <w:tcPr>
            <w:tcW w:w="1275" w:type="dxa"/>
            <w:vAlign w:val="center"/>
          </w:tcPr>
          <w:p>
            <w:pPr>
              <w:pStyle w:val="44"/>
              <w:rPr>
                <w:rFonts w:eastAsia="仿宋" w:cs="Times New Roman"/>
                <w:szCs w:val="21"/>
              </w:rPr>
            </w:pPr>
            <w:r>
              <w:rPr>
                <w:rFonts w:eastAsia="仿宋" w:cs="Times New Roman"/>
                <w:szCs w:val="21"/>
              </w:rPr>
              <w:t>小计</w:t>
            </w:r>
          </w:p>
        </w:tc>
        <w:tc>
          <w:tcPr>
            <w:tcW w:w="1276" w:type="dxa"/>
            <w:vAlign w:val="center"/>
          </w:tcPr>
          <w:p>
            <w:pPr>
              <w:pStyle w:val="44"/>
              <w:rPr>
                <w:rFonts w:eastAsia="仿宋" w:cs="Times New Roman"/>
                <w:szCs w:val="21"/>
              </w:rPr>
            </w:pPr>
            <w:r>
              <w:rPr>
                <w:rFonts w:eastAsia="仿宋" w:cs="Times New Roman"/>
                <w:szCs w:val="21"/>
              </w:rPr>
              <w:t>湿地面积占总湿地面积百分比</w:t>
            </w:r>
          </w:p>
        </w:tc>
        <w:tc>
          <w:tcPr>
            <w:tcW w:w="1304" w:type="dxa"/>
            <w:vMerge w:val="continue"/>
            <w:vAlign w:val="center"/>
          </w:tcPr>
          <w:p>
            <w:pPr>
              <w:pStyle w:val="44"/>
              <w:rPr>
                <w:rFonts w:eastAsia="仿宋"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2" w:type="dxa"/>
            <w:vAlign w:val="center"/>
          </w:tcPr>
          <w:p>
            <w:pPr>
              <w:pStyle w:val="45"/>
              <w:rPr>
                <w:rFonts w:eastAsia="仿宋" w:cs="Times New Roman"/>
                <w:sz w:val="21"/>
                <w:szCs w:val="21"/>
              </w:rPr>
            </w:pPr>
            <w:r>
              <w:rPr>
                <w:rFonts w:eastAsia="仿宋" w:cs="Times New Roman"/>
                <w:sz w:val="21"/>
                <w:szCs w:val="21"/>
              </w:rPr>
              <w:t>1</w:t>
            </w:r>
          </w:p>
        </w:tc>
        <w:tc>
          <w:tcPr>
            <w:tcW w:w="836" w:type="dxa"/>
            <w:vAlign w:val="center"/>
          </w:tcPr>
          <w:p>
            <w:pPr>
              <w:pStyle w:val="45"/>
              <w:rPr>
                <w:rFonts w:eastAsia="仿宋" w:cs="Times New Roman"/>
                <w:sz w:val="21"/>
                <w:szCs w:val="21"/>
              </w:rPr>
            </w:pPr>
            <w:r>
              <w:rPr>
                <w:rFonts w:hint="eastAsia" w:eastAsia="仿宋" w:cs="Times New Roman"/>
                <w:sz w:val="21"/>
                <w:szCs w:val="21"/>
                <w:lang w:eastAsia="zh-CN"/>
              </w:rPr>
              <w:t>生态</w:t>
            </w:r>
            <w:r>
              <w:rPr>
                <w:rFonts w:eastAsia="仿宋" w:cs="Times New Roman"/>
                <w:sz w:val="21"/>
                <w:szCs w:val="21"/>
              </w:rPr>
              <w:t>保育区</w:t>
            </w:r>
          </w:p>
        </w:tc>
        <w:tc>
          <w:tcPr>
            <w:tcW w:w="1496" w:type="dxa"/>
            <w:vAlign w:val="center"/>
          </w:tcPr>
          <w:p>
            <w:pPr>
              <w:pStyle w:val="45"/>
              <w:jc w:val="both"/>
              <w:rPr>
                <w:rFonts w:eastAsia="仿宋" w:cs="Times New Roman"/>
                <w:sz w:val="21"/>
                <w:szCs w:val="21"/>
              </w:rPr>
            </w:pPr>
            <w:r>
              <w:rPr>
                <w:rFonts w:eastAsia="仿宋" w:cs="Times New Roman"/>
                <w:sz w:val="21"/>
                <w:szCs w:val="21"/>
              </w:rPr>
              <w:t>仙阳湖、渫水、峡峪河、商溪河等主体水域及周边林地</w:t>
            </w:r>
          </w:p>
        </w:tc>
        <w:tc>
          <w:tcPr>
            <w:tcW w:w="899" w:type="dxa"/>
            <w:vAlign w:val="center"/>
          </w:tcPr>
          <w:p>
            <w:pPr>
              <w:pStyle w:val="45"/>
              <w:rPr>
                <w:rFonts w:eastAsia="仿宋" w:cs="Times New Roman"/>
                <w:sz w:val="21"/>
                <w:szCs w:val="21"/>
                <w:highlight w:val="none"/>
              </w:rPr>
            </w:pPr>
            <w:r>
              <w:rPr>
                <w:rFonts w:eastAsia="仿宋" w:cs="Times New Roman"/>
                <w:sz w:val="21"/>
                <w:szCs w:val="21"/>
                <w:highlight w:val="none"/>
              </w:rPr>
              <w:t>6970.56</w:t>
            </w:r>
          </w:p>
        </w:tc>
        <w:tc>
          <w:tcPr>
            <w:tcW w:w="1030" w:type="dxa"/>
            <w:vAlign w:val="center"/>
          </w:tcPr>
          <w:p>
            <w:pPr>
              <w:pStyle w:val="45"/>
              <w:rPr>
                <w:rFonts w:eastAsia="仿宋" w:cs="Times New Roman"/>
                <w:sz w:val="21"/>
                <w:szCs w:val="21"/>
                <w:highlight w:val="none"/>
              </w:rPr>
            </w:pPr>
            <w:r>
              <w:rPr>
                <w:rFonts w:eastAsia="仿宋" w:cs="Times New Roman"/>
                <w:sz w:val="21"/>
                <w:szCs w:val="21"/>
                <w:highlight w:val="none"/>
              </w:rPr>
              <w:t>74.26%</w:t>
            </w:r>
          </w:p>
        </w:tc>
        <w:tc>
          <w:tcPr>
            <w:tcW w:w="1275" w:type="dxa"/>
            <w:vAlign w:val="center"/>
          </w:tcPr>
          <w:p>
            <w:pPr>
              <w:pStyle w:val="45"/>
              <w:rPr>
                <w:rFonts w:eastAsia="仿宋" w:cs="Times New Roman"/>
                <w:sz w:val="21"/>
                <w:szCs w:val="21"/>
                <w:highlight w:val="none"/>
              </w:rPr>
            </w:pPr>
            <w:r>
              <w:rPr>
                <w:rFonts w:eastAsia="仿宋" w:cs="Times New Roman"/>
                <w:sz w:val="21"/>
                <w:szCs w:val="21"/>
                <w:highlight w:val="none"/>
              </w:rPr>
              <w:t>3501.31</w:t>
            </w:r>
          </w:p>
        </w:tc>
        <w:tc>
          <w:tcPr>
            <w:tcW w:w="1276" w:type="dxa"/>
            <w:vAlign w:val="center"/>
          </w:tcPr>
          <w:p>
            <w:pPr>
              <w:pStyle w:val="45"/>
              <w:rPr>
                <w:rFonts w:eastAsia="仿宋" w:cs="Times New Roman"/>
                <w:sz w:val="21"/>
                <w:szCs w:val="21"/>
              </w:rPr>
            </w:pPr>
            <w:r>
              <w:rPr>
                <w:rFonts w:eastAsia="仿宋" w:cs="Times New Roman"/>
                <w:sz w:val="21"/>
                <w:szCs w:val="21"/>
              </w:rPr>
              <w:t>71.46%</w:t>
            </w:r>
          </w:p>
        </w:tc>
        <w:tc>
          <w:tcPr>
            <w:tcW w:w="1304" w:type="dxa"/>
            <w:vAlign w:val="center"/>
          </w:tcPr>
          <w:p>
            <w:pPr>
              <w:pStyle w:val="45"/>
              <w:jc w:val="both"/>
              <w:rPr>
                <w:rFonts w:eastAsia="仿宋" w:cs="Times New Roman"/>
                <w:sz w:val="21"/>
                <w:szCs w:val="21"/>
              </w:rPr>
            </w:pPr>
            <w:r>
              <w:rPr>
                <w:rFonts w:eastAsia="仿宋" w:cs="Times New Roman"/>
                <w:sz w:val="21"/>
                <w:szCs w:val="21"/>
              </w:rPr>
              <w:t>河流、库塘湿地生态系统与水鸟栖息地保护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2" w:type="dxa"/>
            <w:vAlign w:val="center"/>
          </w:tcPr>
          <w:p>
            <w:pPr>
              <w:pStyle w:val="45"/>
              <w:rPr>
                <w:rFonts w:eastAsia="仿宋" w:cs="Times New Roman"/>
                <w:sz w:val="21"/>
                <w:szCs w:val="21"/>
              </w:rPr>
            </w:pPr>
            <w:bookmarkStart w:id="263" w:name="_Hlk147519340"/>
            <w:r>
              <w:rPr>
                <w:rFonts w:eastAsia="仿宋" w:cs="Times New Roman"/>
                <w:sz w:val="21"/>
                <w:szCs w:val="21"/>
              </w:rPr>
              <w:t>2</w:t>
            </w:r>
          </w:p>
        </w:tc>
        <w:tc>
          <w:tcPr>
            <w:tcW w:w="836" w:type="dxa"/>
            <w:vAlign w:val="center"/>
          </w:tcPr>
          <w:p>
            <w:pPr>
              <w:pStyle w:val="45"/>
              <w:rPr>
                <w:rFonts w:eastAsia="仿宋" w:cs="Times New Roman"/>
                <w:sz w:val="21"/>
                <w:szCs w:val="21"/>
              </w:rPr>
            </w:pPr>
            <w:r>
              <w:rPr>
                <w:rFonts w:eastAsia="仿宋" w:cs="Times New Roman"/>
                <w:sz w:val="21"/>
                <w:szCs w:val="21"/>
              </w:rPr>
              <w:t>合理利用区</w:t>
            </w:r>
          </w:p>
        </w:tc>
        <w:tc>
          <w:tcPr>
            <w:tcW w:w="1496" w:type="dxa"/>
            <w:vAlign w:val="center"/>
          </w:tcPr>
          <w:p>
            <w:pPr>
              <w:pStyle w:val="45"/>
              <w:jc w:val="both"/>
              <w:rPr>
                <w:rFonts w:eastAsia="仿宋" w:cs="Times New Roman"/>
                <w:sz w:val="21"/>
                <w:szCs w:val="21"/>
              </w:rPr>
            </w:pPr>
            <w:r>
              <w:rPr>
                <w:rFonts w:eastAsia="仿宋" w:cs="Times New Roman"/>
                <w:sz w:val="21"/>
                <w:szCs w:val="21"/>
              </w:rPr>
              <w:t>马鞍岛、月光岛、晒谷堡、维新镇以上水域及部分林地，030乡道以上林地</w:t>
            </w:r>
          </w:p>
        </w:tc>
        <w:tc>
          <w:tcPr>
            <w:tcW w:w="899" w:type="dxa"/>
            <w:vAlign w:val="center"/>
          </w:tcPr>
          <w:p>
            <w:pPr>
              <w:pStyle w:val="45"/>
              <w:rPr>
                <w:rFonts w:eastAsia="仿宋" w:cs="Times New Roman"/>
                <w:sz w:val="21"/>
                <w:szCs w:val="21"/>
                <w:highlight w:val="none"/>
              </w:rPr>
            </w:pPr>
            <w:r>
              <w:rPr>
                <w:rFonts w:eastAsia="仿宋" w:cs="Times New Roman"/>
                <w:sz w:val="21"/>
                <w:szCs w:val="21"/>
                <w:highlight w:val="none"/>
              </w:rPr>
              <w:t>2416.02</w:t>
            </w:r>
          </w:p>
        </w:tc>
        <w:tc>
          <w:tcPr>
            <w:tcW w:w="1030" w:type="dxa"/>
            <w:vAlign w:val="center"/>
          </w:tcPr>
          <w:p>
            <w:pPr>
              <w:pStyle w:val="45"/>
              <w:rPr>
                <w:rFonts w:eastAsia="仿宋" w:cs="Times New Roman"/>
                <w:sz w:val="21"/>
                <w:szCs w:val="21"/>
                <w:highlight w:val="none"/>
              </w:rPr>
            </w:pPr>
            <w:r>
              <w:rPr>
                <w:rFonts w:eastAsia="仿宋" w:cs="Times New Roman"/>
                <w:sz w:val="21"/>
                <w:szCs w:val="21"/>
                <w:highlight w:val="none"/>
              </w:rPr>
              <w:t>25.74%</w:t>
            </w:r>
          </w:p>
        </w:tc>
        <w:tc>
          <w:tcPr>
            <w:tcW w:w="1275" w:type="dxa"/>
            <w:vAlign w:val="center"/>
          </w:tcPr>
          <w:p>
            <w:pPr>
              <w:pStyle w:val="45"/>
              <w:rPr>
                <w:rFonts w:eastAsia="仿宋" w:cs="Times New Roman"/>
                <w:sz w:val="21"/>
                <w:szCs w:val="21"/>
                <w:highlight w:val="none"/>
              </w:rPr>
            </w:pPr>
            <w:r>
              <w:rPr>
                <w:rFonts w:eastAsia="仿宋" w:cs="Times New Roman"/>
                <w:sz w:val="21"/>
                <w:szCs w:val="21"/>
                <w:highlight w:val="none"/>
              </w:rPr>
              <w:t>1398.50</w:t>
            </w:r>
          </w:p>
        </w:tc>
        <w:tc>
          <w:tcPr>
            <w:tcW w:w="1276" w:type="dxa"/>
            <w:vAlign w:val="center"/>
          </w:tcPr>
          <w:p>
            <w:pPr>
              <w:pStyle w:val="45"/>
              <w:rPr>
                <w:rFonts w:eastAsia="仿宋" w:cs="Times New Roman"/>
                <w:sz w:val="21"/>
                <w:szCs w:val="21"/>
              </w:rPr>
            </w:pPr>
            <w:r>
              <w:rPr>
                <w:rFonts w:eastAsia="仿宋" w:cs="Times New Roman"/>
                <w:sz w:val="21"/>
                <w:szCs w:val="21"/>
              </w:rPr>
              <w:t>28.54%</w:t>
            </w:r>
          </w:p>
        </w:tc>
        <w:tc>
          <w:tcPr>
            <w:tcW w:w="1304" w:type="dxa"/>
            <w:vAlign w:val="center"/>
          </w:tcPr>
          <w:p>
            <w:pPr>
              <w:pStyle w:val="45"/>
              <w:jc w:val="both"/>
              <w:rPr>
                <w:rFonts w:eastAsia="仿宋" w:cs="Times New Roman"/>
                <w:sz w:val="21"/>
                <w:szCs w:val="21"/>
              </w:rPr>
            </w:pPr>
            <w:r>
              <w:rPr>
                <w:rFonts w:eastAsia="仿宋" w:cs="Times New Roman"/>
                <w:sz w:val="21"/>
                <w:szCs w:val="21"/>
              </w:rPr>
              <w:t>科普宣教、生态旅游、</w:t>
            </w:r>
          </w:p>
          <w:p>
            <w:pPr>
              <w:pStyle w:val="45"/>
              <w:jc w:val="both"/>
              <w:rPr>
                <w:rFonts w:eastAsia="仿宋" w:cs="Times New Roman"/>
                <w:sz w:val="21"/>
                <w:szCs w:val="21"/>
              </w:rPr>
            </w:pPr>
            <w:r>
              <w:rPr>
                <w:rFonts w:eastAsia="仿宋" w:cs="Times New Roman"/>
                <w:sz w:val="21"/>
                <w:szCs w:val="21"/>
              </w:rPr>
              <w:t>保护管理</w:t>
            </w:r>
          </w:p>
        </w:tc>
      </w:tr>
      <w:bookmarkEnd w:id="263"/>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04" w:type="dxa"/>
            <w:gridSpan w:val="3"/>
            <w:vAlign w:val="center"/>
          </w:tcPr>
          <w:p>
            <w:pPr>
              <w:pStyle w:val="45"/>
              <w:rPr>
                <w:rFonts w:eastAsia="仿宋" w:cs="Times New Roman"/>
                <w:sz w:val="21"/>
                <w:szCs w:val="21"/>
              </w:rPr>
            </w:pPr>
            <w:r>
              <w:rPr>
                <w:rFonts w:eastAsia="仿宋" w:cs="Times New Roman"/>
                <w:sz w:val="21"/>
                <w:szCs w:val="21"/>
              </w:rPr>
              <w:t>合计</w:t>
            </w:r>
          </w:p>
        </w:tc>
        <w:tc>
          <w:tcPr>
            <w:tcW w:w="899" w:type="dxa"/>
          </w:tcPr>
          <w:p>
            <w:pPr>
              <w:pStyle w:val="45"/>
              <w:rPr>
                <w:rFonts w:eastAsia="仿宋" w:cs="Times New Roman"/>
                <w:sz w:val="21"/>
                <w:szCs w:val="21"/>
              </w:rPr>
            </w:pPr>
            <w:r>
              <w:rPr>
                <w:rFonts w:eastAsia="仿宋" w:cs="Times New Roman"/>
                <w:sz w:val="21"/>
                <w:szCs w:val="21"/>
              </w:rPr>
              <w:t>9386.58</w:t>
            </w:r>
          </w:p>
        </w:tc>
        <w:tc>
          <w:tcPr>
            <w:tcW w:w="1030" w:type="dxa"/>
          </w:tcPr>
          <w:p>
            <w:pPr>
              <w:pStyle w:val="45"/>
              <w:rPr>
                <w:rFonts w:eastAsia="仿宋" w:cs="Times New Roman"/>
                <w:sz w:val="21"/>
                <w:szCs w:val="21"/>
              </w:rPr>
            </w:pPr>
            <w:r>
              <w:rPr>
                <w:rFonts w:eastAsia="仿宋" w:cs="Times New Roman"/>
                <w:sz w:val="21"/>
                <w:szCs w:val="21"/>
              </w:rPr>
              <w:t>100.00%</w:t>
            </w:r>
          </w:p>
        </w:tc>
        <w:tc>
          <w:tcPr>
            <w:tcW w:w="1275" w:type="dxa"/>
          </w:tcPr>
          <w:p>
            <w:pPr>
              <w:pStyle w:val="45"/>
              <w:rPr>
                <w:rFonts w:eastAsia="仿宋" w:cs="Times New Roman"/>
                <w:sz w:val="21"/>
                <w:szCs w:val="21"/>
              </w:rPr>
            </w:pPr>
            <w:r>
              <w:rPr>
                <w:rFonts w:eastAsia="仿宋" w:cs="Times New Roman"/>
                <w:sz w:val="21"/>
                <w:szCs w:val="21"/>
              </w:rPr>
              <w:t>4899.81</w:t>
            </w:r>
          </w:p>
        </w:tc>
        <w:tc>
          <w:tcPr>
            <w:tcW w:w="1276" w:type="dxa"/>
            <w:vAlign w:val="center"/>
          </w:tcPr>
          <w:p>
            <w:pPr>
              <w:pStyle w:val="45"/>
              <w:rPr>
                <w:rFonts w:eastAsia="仿宋" w:cs="Times New Roman"/>
                <w:sz w:val="21"/>
                <w:szCs w:val="21"/>
              </w:rPr>
            </w:pPr>
            <w:r>
              <w:rPr>
                <w:rFonts w:eastAsia="仿宋" w:cs="Times New Roman"/>
                <w:sz w:val="21"/>
                <w:szCs w:val="21"/>
              </w:rPr>
              <w:t>100%</w:t>
            </w:r>
          </w:p>
        </w:tc>
        <w:tc>
          <w:tcPr>
            <w:tcW w:w="1304" w:type="dxa"/>
            <w:vAlign w:val="center"/>
          </w:tcPr>
          <w:p>
            <w:pPr>
              <w:pStyle w:val="45"/>
              <w:jc w:val="both"/>
              <w:rPr>
                <w:rFonts w:eastAsia="仿宋" w:cs="Times New Roman"/>
                <w:sz w:val="21"/>
                <w:szCs w:val="21"/>
              </w:rPr>
            </w:pPr>
          </w:p>
        </w:tc>
      </w:tr>
    </w:tbl>
    <w:p>
      <w:pPr>
        <w:pStyle w:val="5"/>
        <w:numPr>
          <w:ilvl w:val="1"/>
          <w:numId w:val="41"/>
        </w:numPr>
        <w:spacing w:before="197"/>
      </w:pPr>
      <w:bookmarkStart w:id="264" w:name="_Toc15803"/>
      <w:bookmarkStart w:id="265" w:name="_Toc114084650"/>
      <w:bookmarkStart w:id="266" w:name="_Toc18269"/>
      <w:bookmarkStart w:id="267" w:name="_Toc113925507"/>
      <w:bookmarkStart w:id="268" w:name="_Toc113925759"/>
      <w:bookmarkStart w:id="269" w:name="_Toc117114378"/>
      <w:r>
        <w:rPr>
          <w:rFonts w:hint="eastAsia"/>
        </w:rPr>
        <w:t>公园分区建设目标与发展</w:t>
      </w:r>
      <w:bookmarkEnd w:id="264"/>
      <w:bookmarkEnd w:id="265"/>
      <w:bookmarkEnd w:id="266"/>
      <w:bookmarkEnd w:id="267"/>
      <w:bookmarkEnd w:id="268"/>
      <w:bookmarkEnd w:id="269"/>
    </w:p>
    <w:p>
      <w:pPr>
        <w:pStyle w:val="6"/>
        <w:numPr>
          <w:ilvl w:val="2"/>
          <w:numId w:val="41"/>
        </w:numPr>
      </w:pPr>
      <w:bookmarkStart w:id="270" w:name="_Toc113925508"/>
      <w:bookmarkStart w:id="271" w:name="_Toc113925760"/>
      <w:r>
        <w:rPr>
          <w:rFonts w:hint="eastAsia"/>
          <w:lang w:eastAsia="zh-CN"/>
        </w:rPr>
        <w:t>生态</w:t>
      </w:r>
      <w:r>
        <w:rPr>
          <w:rFonts w:hint="eastAsia"/>
        </w:rPr>
        <w:t>保育区</w:t>
      </w:r>
      <w:bookmarkEnd w:id="270"/>
      <w:bookmarkEnd w:id="271"/>
    </w:p>
    <w:p>
      <w:pPr>
        <w:ind w:firstLine="560"/>
        <w:rPr>
          <w:rFonts w:cs="Times New Roman"/>
        </w:rPr>
      </w:pPr>
      <w:r>
        <w:rPr>
          <w:rFonts w:hint="eastAsia" w:cs="Times New Roman"/>
          <w:lang w:eastAsia="zh-CN"/>
        </w:rPr>
        <w:t>生态</w:t>
      </w:r>
      <w:r>
        <w:rPr>
          <w:rFonts w:hint="eastAsia" w:cs="Times New Roman"/>
        </w:rPr>
        <w:t>保育区是指湿地公园内湿地生态系统完整性较好，生态敏感度较高的区域，是湿地公园内保护湿地生态系统的核心区域。</w:t>
      </w:r>
      <w:r>
        <w:rPr>
          <w:rFonts w:hint="eastAsia" w:cs="Times New Roman"/>
          <w:lang w:eastAsia="zh-CN"/>
        </w:rPr>
        <w:t>生态</w:t>
      </w:r>
      <w:r>
        <w:rPr>
          <w:rFonts w:hint="eastAsia" w:cs="Times New Roman"/>
        </w:rPr>
        <w:t>保育区主要开展保护、监测等必需的保护管理活动。</w:t>
      </w:r>
    </w:p>
    <w:p>
      <w:pPr>
        <w:pStyle w:val="47"/>
        <w:numPr>
          <w:ilvl w:val="0"/>
          <w:numId w:val="42"/>
        </w:numPr>
        <w:rPr>
          <w:rFonts w:cs="Times New Roman"/>
        </w:rPr>
      </w:pPr>
      <w:r>
        <w:rPr>
          <w:rFonts w:hint="eastAsia" w:cs="Times New Roman"/>
        </w:rPr>
        <w:t>范围及面积</w:t>
      </w:r>
    </w:p>
    <w:p>
      <w:pPr>
        <w:ind w:firstLine="560"/>
        <w:rPr>
          <w:rFonts w:cs="Times New Roman"/>
        </w:rPr>
      </w:pPr>
      <w:r>
        <w:rPr>
          <w:rFonts w:hint="eastAsia" w:cs="Times New Roman"/>
          <w:lang w:eastAsia="zh-CN"/>
        </w:rPr>
        <w:t>生态</w:t>
      </w:r>
      <w:r>
        <w:rPr>
          <w:rFonts w:hint="eastAsia" w:cs="Times New Roman"/>
        </w:rPr>
        <w:t>保育区主要包括仙阳湖及其周边水源涵养林，具体包括仙阳湖主体、南边和西部周边第一层小山脊线内的森林和030乡道以下森林，面积为</w:t>
      </w:r>
      <w:r>
        <w:rPr>
          <w:rFonts w:cs="Times New Roman"/>
        </w:rPr>
        <w:t>6970.56</w:t>
      </w:r>
      <w:r>
        <w:rPr>
          <w:rFonts w:hint="eastAsia" w:cs="Times New Roman"/>
        </w:rPr>
        <w:t>公顷，占湿地公园总面积的</w:t>
      </w:r>
      <w:r>
        <w:rPr>
          <w:rFonts w:cs="Times New Roman"/>
        </w:rPr>
        <w:t>74.26%</w:t>
      </w:r>
      <w:r>
        <w:rPr>
          <w:rFonts w:hint="eastAsia" w:cs="Times New Roman"/>
        </w:rPr>
        <w:t>。</w:t>
      </w:r>
    </w:p>
    <w:p>
      <w:pPr>
        <w:pStyle w:val="47"/>
        <w:numPr>
          <w:ilvl w:val="0"/>
          <w:numId w:val="42"/>
        </w:numPr>
        <w:rPr>
          <w:rFonts w:cs="Times New Roman"/>
        </w:rPr>
      </w:pPr>
      <w:r>
        <w:rPr>
          <w:rFonts w:hint="eastAsia" w:cs="Times New Roman"/>
        </w:rPr>
        <w:t>现状及问题</w:t>
      </w:r>
    </w:p>
    <w:p>
      <w:pPr>
        <w:numPr>
          <w:ilvl w:val="255"/>
          <w:numId w:val="0"/>
        </w:numPr>
        <w:ind w:firstLine="560"/>
        <w:rPr>
          <w:rFonts w:cs="Times New Roman"/>
        </w:rPr>
      </w:pPr>
      <w:r>
        <w:rPr>
          <w:rFonts w:hint="eastAsia" w:cs="Times New Roman"/>
        </w:rPr>
        <w:t>该功能区生态环境状况较好，水量丰富，水质优良，是石门县主要饮用水源和下游区域重要灌溉水源，水质常年维持在《地表水环境质量标准》（GB</w:t>
      </w:r>
      <w:r>
        <w:rPr>
          <w:rFonts w:cs="Times New Roman"/>
        </w:rPr>
        <w:t xml:space="preserve"> </w:t>
      </w:r>
      <w:r>
        <w:rPr>
          <w:rFonts w:hint="eastAsia" w:cs="Times New Roman"/>
        </w:rPr>
        <w:t>3838-2002）中的</w:t>
      </w:r>
      <w:r>
        <w:rPr>
          <w:rFonts w:cs="Times New Roman"/>
        </w:rPr>
        <w:t>Ⅱ</w:t>
      </w:r>
      <w:r>
        <w:rPr>
          <w:rFonts w:hint="eastAsia" w:cs="Times New Roman"/>
        </w:rPr>
        <w:t>类，是众多水禽和鱼类最为重要的栖息场所，是湿地公园内生物多样性最为丰富的区域。然而，本区域也存在一定的问题，一是湿地公园部分区域靠近集镇开发边界，人为活动密集，产生的固体垃圾、面源污染等，会影响水质和景观；二是仙阳湖周边存有部分裸露地，存在水土流失风险。</w:t>
      </w:r>
    </w:p>
    <w:p>
      <w:pPr>
        <w:pStyle w:val="47"/>
        <w:numPr>
          <w:ilvl w:val="0"/>
          <w:numId w:val="42"/>
        </w:numPr>
        <w:rPr>
          <w:rFonts w:cs="Times New Roman"/>
        </w:rPr>
      </w:pPr>
      <w:r>
        <w:rPr>
          <w:rFonts w:hint="eastAsia" w:cs="Times New Roman"/>
        </w:rPr>
        <w:t>建设目标</w:t>
      </w:r>
    </w:p>
    <w:p>
      <w:pPr>
        <w:ind w:firstLine="560"/>
        <w:rPr>
          <w:rFonts w:cs="Times New Roman"/>
        </w:rPr>
      </w:pPr>
      <w:r>
        <w:rPr>
          <w:rFonts w:hint="eastAsia" w:cs="Times New Roman"/>
        </w:rPr>
        <w:t>湿地保护率100%，湿地修复率100%，营造水鸟栖息乐园。</w:t>
      </w:r>
    </w:p>
    <w:p>
      <w:pPr>
        <w:pStyle w:val="47"/>
        <w:numPr>
          <w:ilvl w:val="0"/>
          <w:numId w:val="42"/>
        </w:numPr>
        <w:rPr>
          <w:rFonts w:cs="Times New Roman"/>
        </w:rPr>
      </w:pPr>
      <w:r>
        <w:rPr>
          <w:rFonts w:hint="eastAsia" w:cs="Times New Roman"/>
        </w:rPr>
        <w:t>建设思路</w:t>
      </w:r>
    </w:p>
    <w:p>
      <w:pPr>
        <w:ind w:firstLine="560"/>
        <w:rPr>
          <w:rFonts w:cs="Times New Roman"/>
        </w:rPr>
      </w:pPr>
      <w:r>
        <w:rPr>
          <w:rFonts w:hint="eastAsia" w:cs="Times New Roman"/>
        </w:rPr>
        <w:t>对水库消涨带进行必要的保护、修复和重建，以构建良好的水库消涨带和生物栖息地，恢复湿地生态功能和生物多样性，营造优美的湿地景观；对区域内受损的森林植被及裸露山地、库岸林进行补植补造，以优良的乡土树种为主，营造多样的森林景观；对退化的、缺失的库岸进行恢复和重建，建设结构完善、功能完备的水岸生态系统，恢复湿地生态功能和生物多样性，营造优美的湿地景观；加大湿地保护与环境保护的宣传力度，规范垃圾分类收集，杜绝随意丢弃垃圾现象；严格保护湿地公园的水质，禁止开展水上娱乐项目，在此基础上，开展一定的科研监测活动，杜绝区域内的生产、旅游等活动。</w:t>
      </w:r>
    </w:p>
    <w:p>
      <w:pPr>
        <w:pStyle w:val="47"/>
        <w:numPr>
          <w:ilvl w:val="0"/>
          <w:numId w:val="42"/>
        </w:numPr>
        <w:rPr>
          <w:rFonts w:cs="Times New Roman"/>
        </w:rPr>
      </w:pPr>
      <w:r>
        <w:rPr>
          <w:rFonts w:hint="eastAsia" w:cs="Times New Roman"/>
        </w:rPr>
        <w:t>主要建设内容</w:t>
      </w:r>
    </w:p>
    <w:p>
      <w:pPr>
        <w:widowControl/>
        <w:ind w:firstLine="560"/>
        <w:jc w:val="left"/>
        <w:rPr>
          <w:rFonts w:cs="Times New Roman"/>
          <w:color w:val="000000"/>
          <w:kern w:val="0"/>
          <w:szCs w:val="28"/>
          <w:lang w:bidi="ar"/>
        </w:rPr>
      </w:pPr>
      <w:r>
        <w:rPr>
          <w:rFonts w:cs="Times New Roman"/>
          <w:color w:val="000000"/>
          <w:kern w:val="0"/>
          <w:szCs w:val="28"/>
          <w:lang w:bidi="ar"/>
        </w:rPr>
        <w:t>①</w:t>
      </w:r>
      <w:r>
        <w:rPr>
          <w:rFonts w:hint="eastAsia" w:cs="Times New Roman"/>
          <w:color w:val="000000"/>
          <w:kern w:val="0"/>
          <w:szCs w:val="28"/>
          <w:lang w:bidi="ar"/>
        </w:rPr>
        <w:t xml:space="preserve"> 水源保护工程</w:t>
      </w:r>
    </w:p>
    <w:p>
      <w:pPr>
        <w:widowControl/>
        <w:ind w:firstLine="560"/>
        <w:rPr>
          <w:rFonts w:cs="Times New Roman"/>
          <w:color w:val="000000"/>
          <w:kern w:val="0"/>
          <w:szCs w:val="28"/>
          <w:lang w:bidi="ar"/>
        </w:rPr>
      </w:pPr>
      <w:r>
        <w:rPr>
          <w:rFonts w:hint="eastAsia" w:cs="Times New Roman"/>
        </w:rPr>
        <w:t>仙阳湖国家湿地公园内及沿岸第一层山脊的林地调整为国家公益林，坡度大于25°结合退耕还林工程进行退耕还林，保证湿地公园内拥有充足水量来源。重点在仙阳湖国家湿地公园周边区域开展水源涵养林保护工程</w:t>
      </w:r>
      <w:r>
        <w:rPr>
          <w:rFonts w:cs="Times New Roman"/>
        </w:rPr>
        <w:t>1000</w:t>
      </w:r>
      <w:r>
        <w:rPr>
          <w:rFonts w:hint="eastAsia" w:cs="Times New Roman"/>
        </w:rPr>
        <w:t>公顷。</w:t>
      </w:r>
    </w:p>
    <w:p>
      <w:pPr>
        <w:widowControl/>
        <w:ind w:firstLine="560"/>
        <w:jc w:val="left"/>
        <w:rPr>
          <w:rFonts w:cs="Times New Roman"/>
          <w:color w:val="000000"/>
          <w:kern w:val="0"/>
          <w:szCs w:val="28"/>
          <w:lang w:bidi="ar"/>
        </w:rPr>
      </w:pPr>
      <w:r>
        <w:rPr>
          <w:rFonts w:hint="eastAsia" w:cs="Times New Roman"/>
          <w:color w:val="000000"/>
          <w:kern w:val="0"/>
          <w:szCs w:val="28"/>
          <w:lang w:bidi="ar"/>
        </w:rPr>
        <w:t>② 水系连通工程</w:t>
      </w:r>
    </w:p>
    <w:p>
      <w:pPr>
        <w:widowControl/>
        <w:ind w:firstLine="560"/>
        <w:rPr>
          <w:rFonts w:cs="Times New Roman"/>
        </w:rPr>
      </w:pPr>
      <w:r>
        <w:rPr>
          <w:rFonts w:hint="eastAsia" w:cs="Times New Roman"/>
        </w:rPr>
        <w:t>在湿地公园的渫水（皂市库区）彭家湾（大坝）至雁池、仙阳河支流段、龙王洞等区域，由于常年泥沙冲积和泥石流等自然灾害造成局部堰塞，导致水系阻隔，不但破坏了底栖生物的生存环境，也严重威胁河道堤防安全和防汛安全。规划对沙砾阻滞的河道进行拓宽疏浚，加强内部水文联系。水系连通工程施工采用环保无扰动型挖泥船带水疏浚，疏浚长度为66.8公里。</w:t>
      </w:r>
    </w:p>
    <w:p>
      <w:pPr>
        <w:widowControl/>
        <w:ind w:firstLine="560"/>
        <w:jc w:val="left"/>
        <w:rPr>
          <w:rFonts w:cs="Times New Roman"/>
          <w:color w:val="000000"/>
          <w:kern w:val="0"/>
          <w:szCs w:val="28"/>
          <w:lang w:bidi="ar"/>
        </w:rPr>
      </w:pPr>
      <w:r>
        <w:rPr>
          <w:rFonts w:hint="eastAsia" w:cs="Times New Roman"/>
          <w:color w:val="000000"/>
          <w:kern w:val="0"/>
          <w:szCs w:val="28"/>
          <w:lang w:bidi="ar"/>
        </w:rPr>
        <w:t>③ 水质保护工程</w:t>
      </w:r>
    </w:p>
    <w:p>
      <w:pPr>
        <w:ind w:firstLine="560"/>
      </w:pPr>
      <w:r>
        <w:rPr>
          <w:rFonts w:hint="eastAsia"/>
          <w:lang w:bidi="ar"/>
        </w:rPr>
        <w:t>湿地公园总体水质达到《地表水环境质量标准》（</w:t>
      </w:r>
      <w:r>
        <w:rPr>
          <w:lang w:bidi="ar"/>
        </w:rPr>
        <w:t>GB3838-2002</w:t>
      </w:r>
      <w:r>
        <w:rPr>
          <w:rFonts w:hint="eastAsia"/>
          <w:lang w:bidi="ar"/>
        </w:rPr>
        <w:t>）中</w:t>
      </w:r>
      <w:r>
        <w:rPr>
          <w:rFonts w:hint="eastAsia" w:eastAsia="仿宋_GB2312" w:cs="Times New Roman"/>
          <w:lang w:bidi="ar"/>
        </w:rPr>
        <w:t>Ⅱ</w:t>
      </w:r>
      <w:r>
        <w:rPr>
          <w:rFonts w:hint="eastAsia"/>
          <w:lang w:bidi="ar"/>
        </w:rPr>
        <w:t>类标准，但因涉及8个乡镇39个村，居民产生的生活垃圾未能集中处理，农业生产普遍使用化学肥料和农药，残留化肥及农药随雨水冲入河道，进入仙阳湖，造成局部水质下降。规划对全园固体废弃物进行一次全面集中处理，对居民生活污水采取人工湿地</w:t>
      </w:r>
      <w:r>
        <w:rPr>
          <w:lang w:bidi="ar"/>
        </w:rPr>
        <w:t>+</w:t>
      </w:r>
      <w:r>
        <w:rPr>
          <w:rFonts w:hint="eastAsia"/>
          <w:lang w:bidi="ar"/>
        </w:rPr>
        <w:t>生态沟渠处理系统进行处理，规划建设</w:t>
      </w:r>
      <w:r>
        <w:rPr>
          <w:lang w:bidi="ar"/>
        </w:rPr>
        <w:t>3</w:t>
      </w:r>
      <w:r>
        <w:rPr>
          <w:rFonts w:hint="eastAsia"/>
          <w:lang w:bidi="ar"/>
        </w:rPr>
        <w:t>9处，并购置</w:t>
      </w:r>
      <w:r>
        <w:rPr>
          <w:lang w:bidi="ar"/>
        </w:rPr>
        <w:t>3</w:t>
      </w:r>
      <w:r>
        <w:rPr>
          <w:rFonts w:hint="eastAsia"/>
          <w:lang w:bidi="ar"/>
        </w:rPr>
        <w:t>9</w:t>
      </w:r>
      <w:r>
        <w:rPr>
          <w:lang w:bidi="ar"/>
        </w:rPr>
        <w:t>0</w:t>
      </w:r>
      <w:r>
        <w:rPr>
          <w:rFonts w:hint="eastAsia"/>
          <w:lang w:bidi="ar"/>
        </w:rPr>
        <w:t>个分类垃圾桶，每个村建设</w:t>
      </w:r>
      <w:r>
        <w:rPr>
          <w:lang w:bidi="ar"/>
        </w:rPr>
        <w:t>1</w:t>
      </w:r>
      <w:r>
        <w:rPr>
          <w:rFonts w:hint="eastAsia"/>
          <w:lang w:bidi="ar"/>
        </w:rPr>
        <w:t>个垃圾处理池，对所有垃圾进行集中转运处理。对农业面源污染规划建设带状人工湿地生态系统进行处理，面积</w:t>
      </w:r>
      <w:r>
        <w:rPr>
          <w:lang w:bidi="ar"/>
        </w:rPr>
        <w:t>120</w:t>
      </w:r>
      <w:r>
        <w:rPr>
          <w:rFonts w:hint="eastAsia"/>
          <w:lang w:bidi="ar"/>
        </w:rPr>
        <w:t>公顷。</w:t>
      </w:r>
    </w:p>
    <w:p>
      <w:pPr>
        <w:widowControl/>
        <w:ind w:firstLine="560"/>
        <w:jc w:val="left"/>
        <w:rPr>
          <w:rFonts w:cs="Times New Roman"/>
          <w:szCs w:val="28"/>
        </w:rPr>
      </w:pPr>
      <w:r>
        <w:rPr>
          <w:rFonts w:hint="eastAsia" w:cs="Times New Roman"/>
          <w:color w:val="000000"/>
          <w:kern w:val="0"/>
          <w:szCs w:val="28"/>
          <w:lang w:bidi="ar"/>
        </w:rPr>
        <w:fldChar w:fldCharType="begin"/>
      </w:r>
      <w:r>
        <w:rPr>
          <w:rFonts w:hint="eastAsia" w:cs="Times New Roman"/>
          <w:color w:val="000000"/>
          <w:kern w:val="0"/>
          <w:szCs w:val="28"/>
          <w:lang w:bidi="ar"/>
        </w:rPr>
        <w:instrText xml:space="preserve"> = 4 \* GB3 \* MERGEFORMAT </w:instrText>
      </w:r>
      <w:r>
        <w:rPr>
          <w:rFonts w:hint="eastAsia" w:cs="Times New Roman"/>
          <w:color w:val="000000"/>
          <w:kern w:val="0"/>
          <w:szCs w:val="28"/>
          <w:lang w:bidi="ar"/>
        </w:rPr>
        <w:fldChar w:fldCharType="separate"/>
      </w:r>
      <w:r>
        <w:t>④</w:t>
      </w:r>
      <w:r>
        <w:rPr>
          <w:rFonts w:hint="eastAsia" w:cs="Times New Roman"/>
          <w:color w:val="000000"/>
          <w:kern w:val="0"/>
          <w:szCs w:val="28"/>
          <w:lang w:bidi="ar"/>
        </w:rPr>
        <w:fldChar w:fldCharType="end"/>
      </w:r>
      <w:r>
        <w:rPr>
          <w:rFonts w:hint="eastAsia" w:cs="Times New Roman"/>
          <w:color w:val="000000"/>
          <w:kern w:val="0"/>
          <w:szCs w:val="28"/>
          <w:lang w:bidi="ar"/>
        </w:rPr>
        <w:t xml:space="preserve"> 消涨带修复工程</w:t>
      </w:r>
    </w:p>
    <w:p>
      <w:pPr>
        <w:widowControl/>
        <w:ind w:firstLine="560"/>
        <w:jc w:val="left"/>
        <w:rPr>
          <w:rFonts w:cs="Times New Roman"/>
          <w:szCs w:val="28"/>
        </w:rPr>
      </w:pPr>
      <w:r>
        <w:rPr>
          <w:rFonts w:hint="eastAsia" w:cs="Times New Roman"/>
          <w:color w:val="000000"/>
          <w:kern w:val="0"/>
          <w:szCs w:val="28"/>
          <w:lang w:bidi="ar"/>
        </w:rPr>
        <w:t>仙阳湖受季节性汛期影响，湖岸线变化明显，平均落差</w:t>
      </w:r>
      <w:r>
        <w:rPr>
          <w:rFonts w:cs="Times New Roman"/>
          <w:color w:val="000000"/>
          <w:kern w:val="0"/>
          <w:szCs w:val="28"/>
          <w:lang w:bidi="ar"/>
        </w:rPr>
        <w:t>6</w:t>
      </w:r>
      <w:r>
        <w:rPr>
          <w:rFonts w:hint="eastAsia" w:cs="Times New Roman"/>
          <w:color w:val="000000"/>
          <w:kern w:val="0"/>
          <w:szCs w:val="28"/>
          <w:lang w:bidi="ar"/>
        </w:rPr>
        <w:t>米，消涨带十分明显，尤其是在冬季时非常突出。根据地势条件，规划采取完全演替和不完全演替两种模式进行消涨带修复，共计</w:t>
      </w:r>
      <w:r>
        <w:rPr>
          <w:rFonts w:cs="Times New Roman"/>
          <w:color w:val="000000"/>
          <w:kern w:val="0"/>
          <w:szCs w:val="28"/>
          <w:lang w:bidi="ar"/>
        </w:rPr>
        <w:t>125</w:t>
      </w:r>
      <w:r>
        <w:rPr>
          <w:rFonts w:hint="eastAsia" w:cs="Times New Roman"/>
          <w:color w:val="000000"/>
          <w:kern w:val="0"/>
          <w:szCs w:val="28"/>
          <w:lang w:bidi="ar"/>
        </w:rPr>
        <w:t>公里。</w:t>
      </w:r>
    </w:p>
    <w:p>
      <w:pPr>
        <w:ind w:firstLine="560"/>
      </w:pPr>
      <w:r>
        <w:rPr>
          <w:rFonts w:hint="eastAsia"/>
          <w:lang w:bidi="ar"/>
        </w:rPr>
        <w:fldChar w:fldCharType="begin"/>
      </w:r>
      <w:r>
        <w:rPr>
          <w:rFonts w:hint="eastAsia"/>
          <w:lang w:bidi="ar"/>
        </w:rPr>
        <w:instrText xml:space="preserve"> = 5 \* GB3 \* MERGEFORMAT </w:instrText>
      </w:r>
      <w:r>
        <w:rPr>
          <w:rFonts w:hint="eastAsia"/>
          <w:lang w:bidi="ar"/>
        </w:rPr>
        <w:fldChar w:fldCharType="separate"/>
      </w:r>
      <w:r>
        <w:t>⑤</w:t>
      </w:r>
      <w:r>
        <w:rPr>
          <w:rFonts w:hint="eastAsia"/>
          <w:lang w:bidi="ar"/>
        </w:rPr>
        <w:fldChar w:fldCharType="end"/>
      </w:r>
      <w:r>
        <w:rPr>
          <w:rFonts w:hint="eastAsia"/>
          <w:lang w:bidi="ar"/>
        </w:rPr>
        <w:t xml:space="preserve"> 湿地视频监控系统</w:t>
      </w:r>
    </w:p>
    <w:p>
      <w:pPr>
        <w:ind w:firstLine="560"/>
      </w:pPr>
      <w:r>
        <w:rPr>
          <w:rFonts w:hint="eastAsia"/>
          <w:lang w:bidi="ar"/>
        </w:rPr>
        <w:t>为全天候监管湿地公园范围内的鸟类资源、湿地资源、人类活动等，规划新建湿地视频监控系统</w:t>
      </w:r>
      <w:r>
        <w:rPr>
          <w:lang w:bidi="ar"/>
        </w:rPr>
        <w:t>1</w:t>
      </w:r>
      <w:r>
        <w:rPr>
          <w:rFonts w:hint="eastAsia"/>
          <w:lang w:bidi="ar"/>
        </w:rPr>
        <w:t>套，设立</w:t>
      </w:r>
      <w:r>
        <w:rPr>
          <w:lang w:bidi="ar"/>
        </w:rPr>
        <w:t>10</w:t>
      </w:r>
      <w:r>
        <w:rPr>
          <w:rFonts w:hint="eastAsia"/>
          <w:lang w:bidi="ar"/>
        </w:rPr>
        <w:t>个鸟类监控点，设立</w:t>
      </w:r>
      <w:r>
        <w:rPr>
          <w:lang w:bidi="ar"/>
        </w:rPr>
        <w:t>20</w:t>
      </w:r>
      <w:r>
        <w:rPr>
          <w:rFonts w:hint="eastAsia"/>
          <w:lang w:bidi="ar"/>
        </w:rPr>
        <w:t>个人员重要活动区域监控点，在湿地公园管理处设立监控中心。</w:t>
      </w:r>
    </w:p>
    <w:p>
      <w:pPr>
        <w:pStyle w:val="6"/>
        <w:numPr>
          <w:ilvl w:val="2"/>
          <w:numId w:val="43"/>
        </w:numPr>
      </w:pPr>
      <w:bookmarkStart w:id="272" w:name="_Toc113925761"/>
      <w:bookmarkStart w:id="273" w:name="_Toc113925509"/>
      <w:r>
        <w:rPr>
          <w:rFonts w:hint="eastAsia"/>
        </w:rPr>
        <w:t>合理利用区</w:t>
      </w:r>
      <w:bookmarkEnd w:id="272"/>
      <w:bookmarkEnd w:id="273"/>
    </w:p>
    <w:p>
      <w:pPr>
        <w:ind w:firstLine="560"/>
        <w:rPr>
          <w:rFonts w:cs="Times New Roman"/>
        </w:rPr>
      </w:pPr>
      <w:r>
        <w:rPr>
          <w:rFonts w:hint="eastAsia" w:cs="Times New Roman"/>
        </w:rPr>
        <w:t>合理利用区是指依据湿地公园的自然地理条件及自然资源、景观等开展休闲健身活动，为游客提供认识和体验湿地生态系统的区域。合理利用区主要功能为生态展示、科普教育、文化传播等。</w:t>
      </w:r>
    </w:p>
    <w:p>
      <w:pPr>
        <w:pStyle w:val="47"/>
        <w:numPr>
          <w:ilvl w:val="0"/>
          <w:numId w:val="44"/>
        </w:numPr>
        <w:ind w:firstLineChars="0"/>
        <w:rPr>
          <w:rFonts w:cs="Times New Roman"/>
        </w:rPr>
      </w:pPr>
      <w:r>
        <w:rPr>
          <w:rFonts w:hint="eastAsia" w:cs="Times New Roman"/>
        </w:rPr>
        <w:t>范围及面积</w:t>
      </w:r>
    </w:p>
    <w:p>
      <w:pPr>
        <w:ind w:firstLine="560"/>
        <w:rPr>
          <w:rFonts w:cs="Times New Roman"/>
        </w:rPr>
      </w:pPr>
      <w:r>
        <w:rPr>
          <w:rFonts w:hint="eastAsia" w:cs="Times New Roman"/>
        </w:rPr>
        <w:t>主要包括马鞍岛、月光岛及其周边局部浅水区，维新镇部分水域及林地以及晒谷堡区域，面积为</w:t>
      </w:r>
      <w:r>
        <w:rPr>
          <w:rFonts w:cs="Times New Roman"/>
        </w:rPr>
        <w:t>2416.02</w:t>
      </w:r>
      <w:r>
        <w:rPr>
          <w:rFonts w:hint="eastAsia" w:cs="Times New Roman"/>
        </w:rPr>
        <w:t>公顷，占湿地公园总面积的</w:t>
      </w:r>
      <w:r>
        <w:rPr>
          <w:rFonts w:cs="Times New Roman"/>
        </w:rPr>
        <w:t>25.74%</w:t>
      </w:r>
      <w:r>
        <w:rPr>
          <w:rFonts w:hint="eastAsia" w:cs="Times New Roman"/>
        </w:rPr>
        <w:t>。</w:t>
      </w:r>
    </w:p>
    <w:p>
      <w:pPr>
        <w:pStyle w:val="47"/>
        <w:numPr>
          <w:ilvl w:val="0"/>
          <w:numId w:val="44"/>
        </w:numPr>
        <w:ind w:firstLineChars="0"/>
        <w:rPr>
          <w:rFonts w:cs="Times New Roman"/>
        </w:rPr>
      </w:pPr>
      <w:r>
        <w:rPr>
          <w:rFonts w:hint="eastAsia" w:cs="Times New Roman"/>
        </w:rPr>
        <w:t>现状及问题</w:t>
      </w:r>
    </w:p>
    <w:p>
      <w:pPr>
        <w:widowControl/>
        <w:ind w:firstLine="560"/>
        <w:rPr>
          <w:rFonts w:cs="Times New Roman"/>
        </w:rPr>
      </w:pPr>
      <w:r>
        <w:rPr>
          <w:rFonts w:hint="eastAsia" w:cs="Times New Roman"/>
        </w:rPr>
        <w:t>该区兼具合理利用、管理服务、科普宣教三大功能，目前建设有湿地公园宣教中心、湿地保护管理站、停车场、标识标牌等设施，初步具备开展管护、宣教和生态旅游能力，旅游服务设施不够完善，基础设施有待改善，亦缺乏系统规划和生态旅游管理经验，湿地资源利用率不高，没有发挥湿地景观资源应有的附加值，对周边社区经济发展的辐射有限。访客和村民对湿地科普文化知识知晓率不高，</w:t>
      </w:r>
      <w:r>
        <w:rPr>
          <w:rFonts w:hint="eastAsia" w:cs="Times New Roman"/>
          <w:lang w:bidi="ar"/>
        </w:rPr>
        <w:t>科普宣教设施设备缺乏，科普宣教的形式和手段有待完善提高。</w:t>
      </w:r>
      <w:r>
        <w:rPr>
          <w:rFonts w:hint="eastAsia" w:cs="Times New Roman"/>
        </w:rPr>
        <w:t>该功能区的维新、洲滩区域主要为农村居民点，人为干扰较强，生活垃圾和农业面源污染是该区域面临的主要问题。</w:t>
      </w:r>
      <w:r>
        <w:rPr>
          <w:rFonts w:hint="eastAsia" w:cs="Times New Roman"/>
          <w:lang w:bidi="ar"/>
        </w:rPr>
        <w:t>并且，网箱养鱼、拦网捕鱼全面清退、禁止后，鱼民经济来源切断，收入降低，如何开展好生态旅游，带动当地群众致富；如何进一步巩固脱贫攻坚成果，降低生态承载压力，是湿地公园管理机构当前面临的又一重大挑战。</w:t>
      </w:r>
    </w:p>
    <w:p>
      <w:pPr>
        <w:pStyle w:val="47"/>
        <w:numPr>
          <w:ilvl w:val="0"/>
          <w:numId w:val="44"/>
        </w:numPr>
        <w:ind w:firstLineChars="0"/>
        <w:rPr>
          <w:rFonts w:cs="Times New Roman"/>
        </w:rPr>
      </w:pPr>
      <w:r>
        <w:rPr>
          <w:rFonts w:hint="eastAsia" w:cs="Times New Roman"/>
        </w:rPr>
        <w:t>建设目标</w:t>
      </w:r>
    </w:p>
    <w:p>
      <w:pPr>
        <w:ind w:firstLine="560"/>
        <w:rPr>
          <w:rFonts w:cs="Times New Roman"/>
        </w:rPr>
      </w:pPr>
      <w:r>
        <w:rPr>
          <w:rFonts w:hint="eastAsia" w:cs="Times New Roman"/>
        </w:rPr>
        <w:t>湿地知识公众知晓率95%，湿地保护率100%，全天候监测湿地公园范围内的生物资源、游客情况、火险预报等，完成有关湿地保护和修复课题研究。</w:t>
      </w:r>
    </w:p>
    <w:p>
      <w:pPr>
        <w:pStyle w:val="47"/>
        <w:numPr>
          <w:ilvl w:val="0"/>
          <w:numId w:val="44"/>
        </w:numPr>
        <w:ind w:firstLineChars="0"/>
        <w:rPr>
          <w:rFonts w:cs="Times New Roman"/>
        </w:rPr>
      </w:pPr>
      <w:r>
        <w:rPr>
          <w:rFonts w:hint="eastAsia" w:cs="Times New Roman"/>
        </w:rPr>
        <w:t>建设思路</w:t>
      </w:r>
    </w:p>
    <w:p>
      <w:pPr>
        <w:widowControl/>
        <w:ind w:firstLine="560"/>
      </w:pPr>
      <w:r>
        <w:rPr>
          <w:rFonts w:ascii="仿宋" w:hAnsi="仿宋" w:cs="仿宋"/>
          <w:color w:val="000000"/>
          <w:kern w:val="0"/>
          <w:szCs w:val="28"/>
          <w:lang w:bidi="ar"/>
        </w:rPr>
        <w:t>该区充分利用该区湿地景观，通过室内和室外湿地的展示，向大众宣</w:t>
      </w:r>
      <w:r>
        <w:rPr>
          <w:rFonts w:hint="eastAsia" w:ascii="仿宋" w:hAnsi="仿宋" w:cs="仿宋"/>
          <w:color w:val="000000"/>
          <w:kern w:val="0"/>
          <w:szCs w:val="28"/>
          <w:lang w:bidi="ar"/>
        </w:rPr>
        <w:t>传湿地的有关知识，并且因地制宜地进行湿地生态旅游和休闲游憩、湿地宣教和科研监测基础设施建设，利用良好的湿地和森林景观开展湿地与森林休闲游憩和生态旅游，同时通过宣教加强公众的湿地保护意识，通过开展适当的科研、监测工作，加强湿地公园的科研、监测能力建设。同时，建立仙阳湖国家湿地公园完善的保护和管理体系，建设相应的保护、管理设施；配置相应的保护、管理设备，为游客提供优质高效的服务，实现良好的管理、保护和服务功能。</w:t>
      </w:r>
    </w:p>
    <w:p>
      <w:pPr>
        <w:pStyle w:val="47"/>
        <w:numPr>
          <w:ilvl w:val="0"/>
          <w:numId w:val="44"/>
        </w:numPr>
        <w:ind w:firstLineChars="0"/>
        <w:rPr>
          <w:rFonts w:cs="Times New Roman"/>
        </w:rPr>
      </w:pPr>
      <w:r>
        <w:rPr>
          <w:rFonts w:hint="eastAsia" w:cs="Times New Roman"/>
        </w:rPr>
        <w:t>主要建设内容</w:t>
      </w:r>
    </w:p>
    <w:p>
      <w:pPr>
        <w:ind w:firstLine="560"/>
        <w:rPr>
          <w:rFonts w:cs="Times New Roman"/>
        </w:rPr>
      </w:pPr>
      <w:r>
        <w:rPr>
          <w:rFonts w:hint="eastAsia" w:cs="Times New Roman"/>
        </w:rPr>
        <w:t>① 湿地科普宣教中心</w:t>
      </w:r>
    </w:p>
    <w:p>
      <w:pPr>
        <w:ind w:firstLine="560"/>
        <w:rPr>
          <w:rFonts w:cs="Times New Roman"/>
        </w:rPr>
      </w:pPr>
      <w:r>
        <w:rPr>
          <w:rFonts w:hint="eastAsia" w:cs="Times New Roman"/>
        </w:rPr>
        <w:t>为进一步强化湿地公园宣教工作，规划在彭家堡附近建设湿地科教中心，建筑占地面积2000平方米，配备相应的宣教设备，湿地科普宣教中心和湿地科研监测中心共建。</w:t>
      </w:r>
    </w:p>
    <w:p>
      <w:pPr>
        <w:ind w:firstLine="560"/>
        <w:rPr>
          <w:rFonts w:cs="Times New Roman"/>
        </w:rPr>
      </w:pPr>
      <w:r>
        <w:rPr>
          <w:rFonts w:hint="eastAsia" w:cs="Times New Roman"/>
        </w:rPr>
        <w:t>② 湿地生态教育广场</w:t>
      </w:r>
    </w:p>
    <w:p>
      <w:pPr>
        <w:ind w:firstLine="560"/>
        <w:rPr>
          <w:rFonts w:cs="Times New Roman"/>
        </w:rPr>
      </w:pPr>
      <w:r>
        <w:rPr>
          <w:rFonts w:hint="eastAsia" w:cs="Times New Roman"/>
        </w:rPr>
        <w:t>规划在皂市镇彭家堡、白云镇、磨市镇、马鞍岛建设湿地生态教育广场</w:t>
      </w:r>
      <w:r>
        <w:rPr>
          <w:rFonts w:cs="Times New Roman"/>
        </w:rPr>
        <w:t>4</w:t>
      </w:r>
      <w:r>
        <w:rPr>
          <w:rFonts w:hint="eastAsia" w:cs="Times New Roman"/>
        </w:rPr>
        <w:t>处，占地面积</w:t>
      </w:r>
      <w:r>
        <w:rPr>
          <w:rFonts w:cs="Times New Roman"/>
        </w:rPr>
        <w:t>13000</w:t>
      </w:r>
      <w:r>
        <w:rPr>
          <w:rFonts w:hint="eastAsia" w:cs="Times New Roman"/>
        </w:rPr>
        <w:t>平方米，体现绿色低碳环保理念，多铺透水地面材料，减少地面硬化。</w:t>
      </w:r>
    </w:p>
    <w:p>
      <w:pPr>
        <w:ind w:firstLine="560"/>
        <w:rPr>
          <w:rFonts w:cs="Times New Roman"/>
        </w:rPr>
      </w:pPr>
      <w:r>
        <w:rPr>
          <w:rFonts w:hint="eastAsia" w:cs="Times New Roman"/>
        </w:rPr>
        <w:t>③ 湿地科普宣教长廊</w:t>
      </w:r>
    </w:p>
    <w:p>
      <w:pPr>
        <w:ind w:firstLine="560"/>
        <w:rPr>
          <w:rFonts w:cs="Times New Roman"/>
        </w:rPr>
      </w:pPr>
      <w:r>
        <w:rPr>
          <w:rFonts w:hint="eastAsia" w:cs="Times New Roman"/>
        </w:rPr>
        <w:t>规划在皂市镇、维新镇、白云镇、磨市镇共建设湿地科普宣教长廊</w:t>
      </w:r>
      <w:r>
        <w:rPr>
          <w:rFonts w:cs="Times New Roman"/>
        </w:rPr>
        <w:t>40</w:t>
      </w:r>
      <w:r>
        <w:rPr>
          <w:rFonts w:hint="eastAsia" w:cs="Times New Roman"/>
          <w:lang w:eastAsia="zh-CN"/>
        </w:rPr>
        <w:t>公里</w:t>
      </w:r>
      <w:r>
        <w:rPr>
          <w:rFonts w:hint="eastAsia" w:cs="Times New Roman"/>
        </w:rPr>
        <w:t>。</w:t>
      </w:r>
    </w:p>
    <w:p>
      <w:pPr>
        <w:ind w:firstLine="560"/>
        <w:rPr>
          <w:rFonts w:cs="Times New Roman"/>
        </w:rPr>
      </w:pPr>
      <w:r>
        <w:rPr>
          <w:rFonts w:hint="eastAsia" w:cs="Times New Roman"/>
        </w:rPr>
        <w:t>④ 湿地植物展示园</w:t>
      </w:r>
    </w:p>
    <w:p>
      <w:pPr>
        <w:ind w:firstLine="560"/>
        <w:rPr>
          <w:rFonts w:cs="Times New Roman"/>
        </w:rPr>
      </w:pPr>
      <w:r>
        <w:rPr>
          <w:rFonts w:hint="eastAsia" w:cs="Times New Roman"/>
        </w:rPr>
        <w:t>规划在月光岛、彭家湾、马鞍岛新建湿地植物展示园3处，面积</w:t>
      </w:r>
      <w:r>
        <w:rPr>
          <w:rFonts w:cs="Times New Roman"/>
        </w:rPr>
        <w:t>200</w:t>
      </w:r>
      <w:r>
        <w:rPr>
          <w:rFonts w:hint="eastAsia" w:cs="Times New Roman"/>
        </w:rPr>
        <w:t>公顷。为方便游人观赏池内水生植物在池边设计5米宽平台。此外，在湿地植物展示园的适当位置上设置湿地动植物认知牌</w:t>
      </w:r>
      <w:r>
        <w:rPr>
          <w:rFonts w:cs="Times New Roman"/>
        </w:rPr>
        <w:t>800</w:t>
      </w:r>
      <w:r>
        <w:rPr>
          <w:rFonts w:hint="eastAsia" w:cs="Times New Roman"/>
        </w:rPr>
        <w:t>块。</w:t>
      </w:r>
    </w:p>
    <w:p>
      <w:pPr>
        <w:ind w:firstLine="560"/>
        <w:rPr>
          <w:rFonts w:cs="Times New Roman"/>
        </w:rPr>
      </w:pPr>
      <w:r>
        <w:rPr>
          <w:rFonts w:hint="eastAsia" w:cs="Times New Roman"/>
        </w:rPr>
        <w:t>⑤ 监测站点建设</w:t>
      </w:r>
    </w:p>
    <w:p>
      <w:pPr>
        <w:ind w:firstLine="560"/>
        <w:rPr>
          <w:rFonts w:cs="Times New Roman"/>
        </w:rPr>
      </w:pPr>
      <w:r>
        <w:rPr>
          <w:rFonts w:hint="eastAsia" w:cs="Times New Roman"/>
        </w:rPr>
        <w:t>规划在维新镇水碾溪村鱼类资源监测研究中心，占地面积1</w:t>
      </w:r>
      <w:r>
        <w:rPr>
          <w:rFonts w:cs="Times New Roman"/>
        </w:rPr>
        <w:t>000</w:t>
      </w:r>
      <w:r>
        <w:rPr>
          <w:rFonts w:hint="eastAsia" w:cs="Times New Roman"/>
        </w:rPr>
        <w:t>平方米，在彭家堡建设水文监测站、建设气象监测站，占地分别为2</w:t>
      </w:r>
      <w:r>
        <w:rPr>
          <w:rFonts w:cs="Times New Roman"/>
        </w:rPr>
        <w:t>00</w:t>
      </w:r>
      <w:r>
        <w:rPr>
          <w:rFonts w:hint="eastAsia" w:cs="Times New Roman"/>
        </w:rPr>
        <w:t>、5</w:t>
      </w:r>
      <w:r>
        <w:rPr>
          <w:rFonts w:cs="Times New Roman"/>
        </w:rPr>
        <w:t>0</w:t>
      </w:r>
      <w:r>
        <w:rPr>
          <w:rFonts w:hint="eastAsia" w:cs="Times New Roman"/>
        </w:rPr>
        <w:t>平方米。</w:t>
      </w:r>
    </w:p>
    <w:p>
      <w:pPr>
        <w:ind w:firstLine="560"/>
        <w:rPr>
          <w:rFonts w:cs="Times New Roman"/>
        </w:rPr>
      </w:pPr>
      <w:r>
        <w:rPr>
          <w:rFonts w:hint="eastAsia" w:cs="Times New Roman"/>
        </w:rPr>
        <w:t>⑥ 旅游服务设施建设</w:t>
      </w:r>
    </w:p>
    <w:p>
      <w:pPr>
        <w:ind w:firstLine="560"/>
        <w:rPr>
          <w:rFonts w:cs="Times New Roman"/>
        </w:rPr>
      </w:pPr>
      <w:r>
        <w:rPr>
          <w:rFonts w:hint="eastAsia" w:cs="Times New Roman"/>
        </w:rPr>
        <w:t>规划在码头生态停车场新建游客服务中心1处，占地667</w:t>
      </w:r>
      <w:r>
        <w:rPr>
          <w:rFonts w:cs="Times New Roman"/>
        </w:rPr>
        <w:t>0</w:t>
      </w:r>
      <w:r>
        <w:rPr>
          <w:rFonts w:hint="eastAsia" w:cs="Times New Roman"/>
        </w:rPr>
        <w:t>平方米，在晒谷堡建设游客服务中心，与农耕文化园共建；在皂市镇、白云镇、维新镇、磨市镇码头设立</w:t>
      </w:r>
      <w:r>
        <w:rPr>
          <w:rFonts w:cs="Times New Roman"/>
        </w:rPr>
        <w:t>7</w:t>
      </w:r>
      <w:r>
        <w:rPr>
          <w:rFonts w:hint="eastAsia" w:cs="Times New Roman"/>
        </w:rPr>
        <w:t>个码头综合服务站；</w:t>
      </w:r>
      <w:r>
        <w:rPr>
          <w:rFonts w:cs="Times New Roman"/>
        </w:rPr>
        <w:t>规划在</w:t>
      </w:r>
      <w:r>
        <w:rPr>
          <w:rFonts w:hint="eastAsia" w:cs="Times New Roman"/>
        </w:rPr>
        <w:t>维新镇晒谷堡</w:t>
      </w:r>
      <w:r>
        <w:rPr>
          <w:rFonts w:cs="Times New Roman"/>
        </w:rPr>
        <w:t>建设</w:t>
      </w:r>
      <w:r>
        <w:rPr>
          <w:rFonts w:hint="eastAsia" w:cs="Times New Roman"/>
        </w:rPr>
        <w:t>生态</w:t>
      </w:r>
      <w:r>
        <w:rPr>
          <w:rFonts w:cs="Times New Roman"/>
        </w:rPr>
        <w:t>康养休闲基地</w:t>
      </w:r>
      <w:r>
        <w:rPr>
          <w:rFonts w:hint="eastAsia" w:cs="Times New Roman"/>
        </w:rPr>
        <w:t>；在维新镇晒谷堡建设鱼文化园；规划在八户山区域建设茶文化园；规划在湿地植物展示园周边建设农耕文化园3处；规划在沿岸设置定点生态垂钓场所20处；规划沿湖新建生态厕所</w:t>
      </w:r>
      <w:r>
        <w:rPr>
          <w:rFonts w:cs="Times New Roman"/>
        </w:rPr>
        <w:t>20</w:t>
      </w:r>
      <w:r>
        <w:rPr>
          <w:rFonts w:hint="eastAsia" w:cs="Times New Roman"/>
        </w:rPr>
        <w:t>处。</w:t>
      </w:r>
    </w:p>
    <w:p>
      <w:pPr>
        <w:ind w:firstLine="560"/>
        <w:rPr>
          <w:rFonts w:cs="Times New Roman"/>
        </w:rPr>
      </w:pPr>
      <w:r>
        <w:rPr>
          <w:rFonts w:hint="eastAsia" w:cs="Times New Roman"/>
        </w:rPr>
        <w:t>⑦ 管理基础设施建设</w:t>
      </w:r>
    </w:p>
    <w:p>
      <w:pPr>
        <w:ind w:firstLine="560"/>
        <w:rPr>
          <w:rFonts w:cs="Times New Roman"/>
        </w:rPr>
      </w:pPr>
      <w:r>
        <w:rPr>
          <w:rFonts w:hint="eastAsia" w:cs="Times New Roman"/>
        </w:rPr>
        <w:t>湿地公园涉及8个乡镇39个村，为提高湿地公园的管理能力，加强对湿地资源的管护，规划在维新镇、白云镇、乐天岛和磨市镇保护各新建1处保护管理站，每个保护管理站建筑占地面积</w:t>
      </w:r>
      <w:r>
        <w:rPr>
          <w:rFonts w:cs="Times New Roman"/>
        </w:rPr>
        <w:t>800</w:t>
      </w:r>
      <w:r>
        <w:rPr>
          <w:rFonts w:hint="eastAsia" w:cs="Times New Roman"/>
        </w:rPr>
        <w:t>平方米，并配套附属用房，建筑面积200平方米。</w:t>
      </w:r>
    </w:p>
    <w:p>
      <w:pPr>
        <w:ind w:firstLine="560"/>
        <w:rPr>
          <w:rFonts w:cs="Times New Roman"/>
        </w:rPr>
      </w:pPr>
    </w:p>
    <w:p>
      <w:pPr>
        <w:pStyle w:val="4"/>
        <w:numPr>
          <w:ilvl w:val="0"/>
          <w:numId w:val="20"/>
        </w:numPr>
        <w:spacing w:after="395"/>
        <w:ind w:left="0" w:firstLine="0"/>
      </w:pPr>
      <w:bookmarkStart w:id="274" w:name="_Toc113925510"/>
      <w:bookmarkStart w:id="275" w:name="_Toc113925762"/>
      <w:bookmarkStart w:id="276" w:name="_Toc11198"/>
      <w:bookmarkStart w:id="277" w:name="_Toc114084651"/>
      <w:bookmarkStart w:id="278" w:name="_Toc117114379"/>
      <w:bookmarkStart w:id="279" w:name="_Toc11446"/>
      <w:r>
        <w:rPr>
          <w:rFonts w:hint="eastAsia"/>
        </w:rPr>
        <w:t>保护（恢复）规划</w:t>
      </w:r>
      <w:bookmarkEnd w:id="274"/>
      <w:bookmarkEnd w:id="275"/>
      <w:bookmarkEnd w:id="276"/>
      <w:bookmarkEnd w:id="277"/>
      <w:bookmarkEnd w:id="278"/>
      <w:bookmarkEnd w:id="279"/>
    </w:p>
    <w:p>
      <w:pPr>
        <w:pStyle w:val="5"/>
        <w:numPr>
          <w:ilvl w:val="1"/>
          <w:numId w:val="45"/>
        </w:numPr>
        <w:spacing w:before="197"/>
      </w:pPr>
      <w:bookmarkStart w:id="280" w:name="_Toc117114380"/>
      <w:bookmarkStart w:id="281" w:name="_Toc22108"/>
      <w:bookmarkStart w:id="282" w:name="_Toc2384"/>
      <w:bookmarkStart w:id="283" w:name="_Toc113925763"/>
      <w:bookmarkStart w:id="284" w:name="_Toc113925511"/>
      <w:bookmarkStart w:id="285" w:name="_Toc114084652"/>
      <w:r>
        <w:rPr>
          <w:rFonts w:hint="eastAsia"/>
        </w:rPr>
        <w:t>规划原则</w:t>
      </w:r>
      <w:bookmarkEnd w:id="280"/>
      <w:bookmarkEnd w:id="281"/>
      <w:bookmarkEnd w:id="282"/>
      <w:bookmarkEnd w:id="283"/>
      <w:bookmarkEnd w:id="284"/>
      <w:bookmarkEnd w:id="285"/>
    </w:p>
    <w:p>
      <w:pPr>
        <w:pStyle w:val="6"/>
        <w:numPr>
          <w:ilvl w:val="2"/>
          <w:numId w:val="45"/>
        </w:numPr>
      </w:pPr>
      <w:bookmarkStart w:id="286" w:name="_Toc113925764"/>
      <w:bookmarkStart w:id="287" w:name="_Toc113925512"/>
      <w:r>
        <w:rPr>
          <w:rFonts w:hint="eastAsia"/>
        </w:rPr>
        <w:t>坚持整体性保护，分区施策的原则</w:t>
      </w:r>
      <w:bookmarkEnd w:id="286"/>
      <w:bookmarkEnd w:id="287"/>
    </w:p>
    <w:p>
      <w:pPr>
        <w:ind w:firstLine="560"/>
        <w:rPr>
          <w:rFonts w:cs="Times New Roman"/>
        </w:rPr>
      </w:pPr>
      <w:r>
        <w:rPr>
          <w:rFonts w:hint="eastAsia" w:cs="Times New Roman"/>
        </w:rPr>
        <w:t>最大限度地保护湿地公园内的湿地自然资源和野生动植物资源及湿地生态系统，维护湿地生态系统功能的稳定。对</w:t>
      </w:r>
      <w:r>
        <w:rPr>
          <w:rFonts w:hint="eastAsia" w:cs="Times New Roman"/>
          <w:lang w:eastAsia="zh-CN"/>
        </w:rPr>
        <w:t>生态</w:t>
      </w:r>
      <w:r>
        <w:rPr>
          <w:rFonts w:hint="eastAsia" w:cs="Times New Roman"/>
        </w:rPr>
        <w:t>保育区进行严格保护，除开展一定的科研监测活动外，不建设污染环境、破坏资源或者景观的任何设施。恢复重建区以培育和恢复湿地为主。合理利用区以开展生态展示、科普宣教为主，适度开展生态体验和管理服务等活动。</w:t>
      </w:r>
    </w:p>
    <w:p>
      <w:pPr>
        <w:pStyle w:val="6"/>
        <w:numPr>
          <w:ilvl w:val="2"/>
          <w:numId w:val="45"/>
        </w:numPr>
      </w:pPr>
      <w:bookmarkStart w:id="288" w:name="_Toc113925513"/>
      <w:bookmarkStart w:id="289" w:name="_Toc113925765"/>
      <w:r>
        <w:rPr>
          <w:rFonts w:hint="eastAsia"/>
        </w:rPr>
        <w:t>坚持保护与恢复相结合的原则</w:t>
      </w:r>
      <w:bookmarkEnd w:id="288"/>
      <w:bookmarkEnd w:id="289"/>
    </w:p>
    <w:p>
      <w:pPr>
        <w:ind w:firstLine="560"/>
        <w:rPr>
          <w:rFonts w:cs="Times New Roman"/>
        </w:rPr>
      </w:pPr>
      <w:r>
        <w:rPr>
          <w:rFonts w:hint="eastAsia" w:cs="Times New Roman"/>
        </w:rPr>
        <w:t>在保护现有珍稀物种、良好生态系统和自然环境的同时，对已经退化或丧失的生境进行恢复和修复，重建湿地。通过实施一系列生态修复项目，逐步改善湿地公园内的湿地生态环境，使湿地生态功能恢复至近自然状态，并与整个区域的自然环境相互协调统一。</w:t>
      </w:r>
    </w:p>
    <w:p>
      <w:pPr>
        <w:pStyle w:val="6"/>
        <w:numPr>
          <w:ilvl w:val="2"/>
          <w:numId w:val="45"/>
        </w:numPr>
      </w:pPr>
      <w:bookmarkStart w:id="290" w:name="_Toc113925514"/>
      <w:bookmarkStart w:id="291" w:name="_Toc113925766"/>
      <w:r>
        <w:rPr>
          <w:rFonts w:hint="eastAsia"/>
        </w:rPr>
        <w:t>坚持自然恢复和人工干预相的原则</w:t>
      </w:r>
      <w:bookmarkEnd w:id="290"/>
      <w:bookmarkEnd w:id="291"/>
    </w:p>
    <w:p>
      <w:pPr>
        <w:ind w:firstLine="560"/>
        <w:rPr>
          <w:rFonts w:cs="Times New Roman"/>
        </w:rPr>
      </w:pPr>
      <w:r>
        <w:rPr>
          <w:rFonts w:hint="eastAsia" w:cs="Times New Roman"/>
        </w:rPr>
        <w:t>以自然修复为主和人工适度促进为辅相结合的方法进行受损区域的湿地生态系统恢复。对自然条件较好、较容易恢复的区域，采取自然恢复模式，对合理利用区干扰较重、退化较明显、生态功能较脆弱的区域采取人工辅助恢复模式。</w:t>
      </w:r>
    </w:p>
    <w:p>
      <w:pPr>
        <w:pStyle w:val="5"/>
        <w:numPr>
          <w:ilvl w:val="1"/>
          <w:numId w:val="45"/>
        </w:numPr>
        <w:spacing w:before="197"/>
      </w:pPr>
      <w:bookmarkStart w:id="292" w:name="_Toc114084653"/>
      <w:bookmarkStart w:id="293" w:name="_Toc113925767"/>
      <w:bookmarkStart w:id="294" w:name="_Toc22670"/>
      <w:bookmarkStart w:id="295" w:name="_Toc117114381"/>
      <w:bookmarkStart w:id="296" w:name="_Toc31021"/>
      <w:bookmarkStart w:id="297" w:name="_Toc113925515"/>
      <w:r>
        <w:rPr>
          <w:rFonts w:hint="eastAsia"/>
        </w:rPr>
        <w:t>水系和水资源保护（恢复）规划</w:t>
      </w:r>
      <w:bookmarkEnd w:id="292"/>
      <w:bookmarkEnd w:id="293"/>
      <w:bookmarkEnd w:id="294"/>
      <w:bookmarkEnd w:id="295"/>
      <w:bookmarkEnd w:id="296"/>
      <w:bookmarkEnd w:id="297"/>
    </w:p>
    <w:p>
      <w:pPr>
        <w:pStyle w:val="6"/>
        <w:numPr>
          <w:ilvl w:val="2"/>
          <w:numId w:val="46"/>
        </w:numPr>
      </w:pPr>
      <w:bookmarkStart w:id="298" w:name="_Toc113925516"/>
      <w:bookmarkStart w:id="299" w:name="_Toc113925768"/>
      <w:r>
        <w:rPr>
          <w:rFonts w:hint="eastAsia"/>
        </w:rPr>
        <w:t>水系和水资源现状</w:t>
      </w:r>
      <w:bookmarkEnd w:id="298"/>
      <w:bookmarkEnd w:id="299"/>
    </w:p>
    <w:p>
      <w:pPr>
        <w:ind w:firstLine="560"/>
        <w:rPr>
          <w:rFonts w:cs="Times New Roman"/>
        </w:rPr>
      </w:pPr>
      <w:r>
        <w:rPr>
          <w:rFonts w:hint="eastAsia" w:cs="Times New Roman"/>
        </w:rPr>
        <w:t>水是生命之源，是一切生物生存与繁衍的物质基础，与人类生活和工农业生产息息相关。仙阳湖流域地处湖南腹地，洞庭湖水系澧水支流渫水下游。仙阳湖地处国家重点生态功能区的武陵山区生物多样性和水土保持生态功能区，是洞庭湖上游重要的水源涵养区，是绿色湖南</w:t>
      </w:r>
      <w:r>
        <w:rPr>
          <w:rFonts w:hint="eastAsia" w:ascii="仿宋" w:hAnsi="仿宋" w:cs="仿宋"/>
        </w:rPr>
        <w:t>“一湖三山四水”生态</w:t>
      </w:r>
      <w:r>
        <w:rPr>
          <w:rFonts w:hint="eastAsia" w:cs="Times New Roman"/>
        </w:rPr>
        <w:t>安全屏障的重要建设区域。然而，仙阳湖周边仍存在的少量人为生产活动，包括湿地公园周边由于居民建房产生少量建筑垃圾堆积在河岸导致部分地段岸坡植被破坏、周边个别居民将生活垃圾向河内倾倒、由于挖砂形成尾砂堆积的历史遗留问题等，以上人为生产活动造成局部区域水体浑浊，水质变差，威胁仙阳湖水环境安全。</w:t>
      </w:r>
    </w:p>
    <w:p>
      <w:pPr>
        <w:pStyle w:val="6"/>
        <w:numPr>
          <w:ilvl w:val="2"/>
          <w:numId w:val="46"/>
        </w:numPr>
      </w:pPr>
      <w:bookmarkStart w:id="300" w:name="_Toc113925517"/>
      <w:bookmarkStart w:id="301" w:name="_Toc113925769"/>
      <w:r>
        <w:rPr>
          <w:rFonts w:hint="eastAsia"/>
        </w:rPr>
        <w:t>建设思路</w:t>
      </w:r>
      <w:bookmarkEnd w:id="300"/>
      <w:bookmarkEnd w:id="301"/>
    </w:p>
    <w:p>
      <w:pPr>
        <w:ind w:firstLine="560"/>
        <w:rPr>
          <w:rFonts w:cs="Times New Roman"/>
        </w:rPr>
      </w:pPr>
      <w:r>
        <w:rPr>
          <w:rFonts w:hint="eastAsia" w:cs="Times New Roman"/>
        </w:rPr>
        <w:t>（1）实施科学合理的流域水资源调度，统筹兼顾，合理利用，保持合理水位，调节枯水、丰水期流量，维持水体的自然净化能力；</w:t>
      </w:r>
    </w:p>
    <w:p>
      <w:pPr>
        <w:ind w:firstLine="560"/>
        <w:rPr>
          <w:rFonts w:cs="Times New Roman"/>
        </w:rPr>
      </w:pPr>
      <w:r>
        <w:rPr>
          <w:rFonts w:hint="eastAsia" w:cs="Times New Roman"/>
        </w:rPr>
        <w:t>（2）加强流域综合管理，加强湿地公园上游及其区间的污染控制，尤其是清理河岸堆积的砂石和沿岸遗留的采砂、装卸设施设备，清理河道内的小砂堆。</w:t>
      </w:r>
    </w:p>
    <w:p>
      <w:pPr>
        <w:pStyle w:val="6"/>
        <w:numPr>
          <w:ilvl w:val="2"/>
          <w:numId w:val="46"/>
        </w:numPr>
      </w:pPr>
      <w:bookmarkStart w:id="302" w:name="_Toc113925518"/>
      <w:bookmarkStart w:id="303" w:name="_Toc113925770"/>
      <w:r>
        <w:rPr>
          <w:rFonts w:hint="eastAsia"/>
        </w:rPr>
        <w:t>建设内容</w:t>
      </w:r>
      <w:bookmarkEnd w:id="302"/>
      <w:bookmarkEnd w:id="303"/>
    </w:p>
    <w:p>
      <w:pPr>
        <w:pStyle w:val="47"/>
        <w:numPr>
          <w:ilvl w:val="0"/>
          <w:numId w:val="47"/>
        </w:numPr>
        <w:ind w:firstLineChars="0"/>
        <w:rPr>
          <w:rFonts w:cs="Times New Roman"/>
        </w:rPr>
      </w:pPr>
      <w:r>
        <w:rPr>
          <w:rFonts w:hint="eastAsia" w:cs="Times New Roman"/>
        </w:rPr>
        <w:t>水源保护工程</w:t>
      </w:r>
    </w:p>
    <w:p>
      <w:pPr>
        <w:ind w:firstLine="560"/>
        <w:rPr>
          <w:rFonts w:cs="Times New Roman"/>
        </w:rPr>
      </w:pPr>
      <w:r>
        <w:rPr>
          <w:rFonts w:hint="eastAsia" w:cs="Times New Roman"/>
        </w:rPr>
        <w:t>① 加强对湿地公园内水源涵养林、护岸林的建设和保护，保持水土、涵养水源，增强水系自净能力，包括湿地公园内各支流。湿地公园内及沿岸第一层山脊的林地为国家公益林（地），坡度大于5°的生态薄弱区，实现人工促进恢复，保证湿地公园内拥有充足水量来源。重点在湿地公园周边区域开展水源涵养林、护岸林保护工程10</w:t>
      </w:r>
      <w:r>
        <w:rPr>
          <w:rFonts w:cs="Times New Roman"/>
        </w:rPr>
        <w:t>00</w:t>
      </w:r>
      <w:r>
        <w:rPr>
          <w:rFonts w:hint="eastAsia" w:cs="Times New Roman"/>
        </w:rPr>
        <w:t>公顷。</w:t>
      </w:r>
    </w:p>
    <w:p>
      <w:pPr>
        <w:ind w:firstLine="560"/>
        <w:rPr>
          <w:rFonts w:cs="Times New Roman"/>
        </w:rPr>
      </w:pPr>
      <w:r>
        <w:rPr>
          <w:rFonts w:hint="eastAsia" w:cs="Times New Roman"/>
        </w:rPr>
        <w:t>② 湿地公园水域由于受季节降雨量、水库调蓄洪水等影响，水位会有所波动，通过协调皂市水电站，调节水利发电量，维持湿地公园的正常水量。</w:t>
      </w:r>
    </w:p>
    <w:p>
      <w:pPr>
        <w:pStyle w:val="47"/>
        <w:numPr>
          <w:ilvl w:val="0"/>
          <w:numId w:val="47"/>
        </w:numPr>
        <w:ind w:firstLineChars="0"/>
        <w:rPr>
          <w:rFonts w:cs="Times New Roman"/>
        </w:rPr>
      </w:pPr>
      <w:r>
        <w:rPr>
          <w:rFonts w:hint="eastAsia" w:cs="Times New Roman"/>
        </w:rPr>
        <w:t>水系连通工程</w:t>
      </w:r>
    </w:p>
    <w:p>
      <w:pPr>
        <w:widowControl/>
        <w:ind w:firstLine="560"/>
      </w:pPr>
      <w:r>
        <w:rPr>
          <w:rFonts w:hint="eastAsia" w:cs="Times New Roman"/>
        </w:rPr>
        <w:t>在湿地公园的</w:t>
      </w:r>
      <w:bookmarkStart w:id="304" w:name="_Hlk132725262"/>
      <w:r>
        <w:rPr>
          <w:rFonts w:hint="eastAsia" w:cs="Times New Roman"/>
        </w:rPr>
        <w:t>渫水（皂市库区）彭家湾（大坝）至雁池、仙阳河支流段</w:t>
      </w:r>
      <w:bookmarkEnd w:id="304"/>
      <w:r>
        <w:rPr>
          <w:rFonts w:hint="eastAsia" w:cs="Times New Roman"/>
        </w:rPr>
        <w:t>、龙王洞等区域，由于常年泥沙冲积和泥石流等自然灾害造成局部堰塞，导致水系阻隔，不但破坏了底栖生物的生存环境，也严重威胁河道堤防安全和防汛安全。规划对沙砾阻滞的河道进行拓宽疏浚，加强内部水文联系。水系连通工程施工采用环保无扰动型挖泥船带水疏浚，疏浚长度为66.8公里。清淤作业的施工期安排在冬初至春末，做到费省效高，同时能够最大限度的保护生态环境。</w:t>
      </w:r>
    </w:p>
    <w:p>
      <w:pPr>
        <w:pStyle w:val="16"/>
        <w:spacing w:after="0"/>
        <w:ind w:firstLine="0" w:firstLineChars="0"/>
      </w:pPr>
      <w:r>
        <w:rPr>
          <w:rFonts w:hint="eastAsia"/>
        </w:rPr>
        <w:drawing>
          <wp:inline distT="0" distB="0" distL="114300" distR="114300">
            <wp:extent cx="5645785" cy="3896360"/>
            <wp:effectExtent l="0" t="0" r="12065" b="8890"/>
            <wp:docPr id="22" name="图片 22"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11"/>
                    <pic:cNvPicPr>
                      <a:picLocks noChangeAspect="1"/>
                    </pic:cNvPicPr>
                  </pic:nvPicPr>
                  <pic:blipFill>
                    <a:blip r:embed="rId36"/>
                    <a:stretch>
                      <a:fillRect/>
                    </a:stretch>
                  </pic:blipFill>
                  <pic:spPr>
                    <a:xfrm>
                      <a:off x="0" y="0"/>
                      <a:ext cx="5645785" cy="3896360"/>
                    </a:xfrm>
                    <a:prstGeom prst="rect">
                      <a:avLst/>
                    </a:prstGeom>
                  </pic:spPr>
                </pic:pic>
              </a:graphicData>
            </a:graphic>
          </wp:inline>
        </w:drawing>
      </w:r>
    </w:p>
    <w:p>
      <w:pPr>
        <w:ind w:firstLine="0" w:firstLineChars="0"/>
        <w:jc w:val="center"/>
        <w:rPr>
          <w:rFonts w:eastAsia="黑体" w:cs="Times New Roman"/>
          <w:sz w:val="24"/>
        </w:rPr>
      </w:pPr>
      <w:r>
        <w:rPr>
          <w:rFonts w:eastAsia="黑体" w:cs="Times New Roman"/>
          <w:sz w:val="24"/>
        </w:rPr>
        <w:t>图</w:t>
      </w:r>
      <w:r>
        <w:rPr>
          <w:rFonts w:hint="eastAsia" w:eastAsia="黑体" w:cs="Times New Roman"/>
          <w:sz w:val="24"/>
        </w:rPr>
        <w:t>6</w:t>
      </w:r>
      <w:r>
        <w:rPr>
          <w:rFonts w:eastAsia="黑体" w:cs="Times New Roman"/>
          <w:sz w:val="24"/>
        </w:rPr>
        <w:t xml:space="preserve">-1 </w:t>
      </w:r>
      <w:r>
        <w:rPr>
          <w:rFonts w:hint="eastAsia" w:eastAsia="黑体" w:cs="Times New Roman"/>
          <w:sz w:val="24"/>
        </w:rPr>
        <w:t>规划水系连通工程现场照片</w:t>
      </w:r>
    </w:p>
    <w:p>
      <w:pPr>
        <w:pStyle w:val="5"/>
        <w:keepNext w:val="0"/>
        <w:numPr>
          <w:ilvl w:val="1"/>
          <w:numId w:val="46"/>
        </w:numPr>
        <w:spacing w:before="197"/>
      </w:pPr>
      <w:bookmarkStart w:id="305" w:name="_Toc117114382"/>
      <w:bookmarkStart w:id="306" w:name="_Toc113925519"/>
      <w:bookmarkStart w:id="307" w:name="_Toc114084654"/>
      <w:bookmarkStart w:id="308" w:name="_Toc113925771"/>
      <w:bookmarkStart w:id="309" w:name="_Toc22182"/>
      <w:bookmarkStart w:id="310" w:name="_Toc27372"/>
      <w:r>
        <w:rPr>
          <w:rFonts w:hint="eastAsia"/>
        </w:rPr>
        <w:t>水质保护（恢复）规划</w:t>
      </w:r>
      <w:bookmarkEnd w:id="305"/>
      <w:bookmarkEnd w:id="306"/>
      <w:bookmarkEnd w:id="307"/>
      <w:bookmarkEnd w:id="308"/>
      <w:bookmarkEnd w:id="309"/>
      <w:bookmarkEnd w:id="310"/>
    </w:p>
    <w:p>
      <w:pPr>
        <w:pStyle w:val="6"/>
        <w:numPr>
          <w:ilvl w:val="2"/>
          <w:numId w:val="48"/>
        </w:numPr>
      </w:pPr>
      <w:bookmarkStart w:id="311" w:name="_Toc113925772"/>
      <w:bookmarkStart w:id="312" w:name="_Toc113925520"/>
      <w:r>
        <w:rPr>
          <w:rFonts w:hint="eastAsia"/>
        </w:rPr>
        <w:t>水质现状</w:t>
      </w:r>
      <w:bookmarkEnd w:id="311"/>
      <w:bookmarkEnd w:id="312"/>
    </w:p>
    <w:p>
      <w:pPr>
        <w:ind w:firstLine="560"/>
        <w:rPr>
          <w:rFonts w:cs="Times New Roman"/>
        </w:rPr>
      </w:pPr>
      <w:r>
        <w:rPr>
          <w:rFonts w:hint="eastAsia" w:cs="Times New Roman"/>
        </w:rPr>
        <w:t>仙阳湖国家湿地公园在2014版规划期内已经对公园周边造成水质污染的企业进行治理，并已建设多处污水处理厂，根据《2</w:t>
      </w:r>
      <w:r>
        <w:rPr>
          <w:rFonts w:cs="Times New Roman"/>
        </w:rPr>
        <w:t>021</w:t>
      </w:r>
      <w:r>
        <w:rPr>
          <w:rFonts w:hint="eastAsia" w:cs="Times New Roman"/>
        </w:rPr>
        <w:t>年石门县环境质量年报》显示湿地公园的水体水质符合《地表水环境质量标准》（GB3838-2002）的</w:t>
      </w:r>
      <w:r>
        <w:rPr>
          <w:rFonts w:eastAsia="仿宋_GB2312" w:cs="Times New Roman"/>
        </w:rPr>
        <w:t>Ⅱ</w:t>
      </w:r>
      <w:r>
        <w:rPr>
          <w:rFonts w:hint="eastAsia" w:cs="Times New Roman"/>
        </w:rPr>
        <w:t>类标准，所有监测指标均未超标，说明湿地公园内水体的水质总体良好。然而，湿地公园周边居民较多，村民农耕时，普遍采用化学肥料及农药杀虫，残留化肥及农药随雨水流入河道，污染水体，局部降低了水质。另外，沿线居民随意丢弃垃圾的行为时有发生，部分生产生活垃圾被随雨水冲入湖区，都会对水质造成一定的影响。</w:t>
      </w:r>
    </w:p>
    <w:p>
      <w:pPr>
        <w:pStyle w:val="6"/>
        <w:numPr>
          <w:ilvl w:val="2"/>
          <w:numId w:val="48"/>
        </w:numPr>
      </w:pPr>
      <w:bookmarkStart w:id="313" w:name="_Toc113925773"/>
      <w:bookmarkStart w:id="314" w:name="_Toc113925521"/>
      <w:r>
        <w:rPr>
          <w:rFonts w:hint="eastAsia"/>
        </w:rPr>
        <w:t>建设思路</w:t>
      </w:r>
      <w:bookmarkEnd w:id="313"/>
      <w:bookmarkEnd w:id="314"/>
    </w:p>
    <w:p>
      <w:pPr>
        <w:ind w:firstLine="560"/>
        <w:rPr>
          <w:rFonts w:cs="Times New Roman"/>
        </w:rPr>
      </w:pPr>
      <w:r>
        <w:rPr>
          <w:rFonts w:hint="eastAsia" w:cs="Times New Roman"/>
        </w:rPr>
        <w:t>（1）加强流域综合管理，控制湿地公园外源污染物，完善湿地公园周边的污水处理和生活垃圾集中收集处理，禁止生活污水直排和生活垃圾随意丢弃；</w:t>
      </w:r>
    </w:p>
    <w:p>
      <w:pPr>
        <w:ind w:firstLine="560"/>
        <w:rPr>
          <w:rFonts w:cs="Times New Roman"/>
        </w:rPr>
      </w:pPr>
      <w:r>
        <w:rPr>
          <w:rFonts w:hint="eastAsia" w:cs="Times New Roman"/>
        </w:rPr>
        <w:t>（2）积极控制内源污染；</w:t>
      </w:r>
    </w:p>
    <w:p>
      <w:pPr>
        <w:ind w:firstLine="560"/>
        <w:rPr>
          <w:rFonts w:cs="Times New Roman"/>
        </w:rPr>
      </w:pPr>
      <w:r>
        <w:rPr>
          <w:rFonts w:hint="eastAsia" w:cs="Times New Roman"/>
        </w:rPr>
        <w:t>（3）开展水生动植物去富营养化；</w:t>
      </w:r>
    </w:p>
    <w:p>
      <w:pPr>
        <w:ind w:firstLine="560"/>
        <w:rPr>
          <w:rFonts w:cs="Times New Roman"/>
        </w:rPr>
      </w:pPr>
      <w:r>
        <w:rPr>
          <w:rFonts w:hint="eastAsia" w:cs="Times New Roman"/>
        </w:rPr>
        <w:t>（4）建立健全管理机制，加大环境执法力度。加强对流域周边各风景区内游客和旅游船只的管理，制定管理措施。管理人员应重点清理旅游路线上的各种垃圾，尤其是旅游旺季，适当加大清理频次，确保其水质达标。</w:t>
      </w:r>
    </w:p>
    <w:p>
      <w:pPr>
        <w:pStyle w:val="6"/>
        <w:numPr>
          <w:ilvl w:val="2"/>
          <w:numId w:val="48"/>
        </w:numPr>
      </w:pPr>
      <w:bookmarkStart w:id="315" w:name="_Toc113925522"/>
      <w:bookmarkStart w:id="316" w:name="_Toc113925774"/>
      <w:r>
        <w:rPr>
          <w:rFonts w:hint="eastAsia"/>
        </w:rPr>
        <w:t>建设内容</w:t>
      </w:r>
      <w:bookmarkEnd w:id="315"/>
      <w:bookmarkEnd w:id="316"/>
    </w:p>
    <w:p>
      <w:pPr>
        <w:pStyle w:val="47"/>
        <w:numPr>
          <w:ilvl w:val="255"/>
          <w:numId w:val="0"/>
        </w:numPr>
        <w:ind w:left="560"/>
        <w:rPr>
          <w:rFonts w:cs="Times New Roman"/>
          <w:b/>
          <w:bCs/>
        </w:rPr>
      </w:pPr>
      <w:r>
        <w:rPr>
          <w:rFonts w:hint="eastAsia" w:cs="Times New Roman"/>
          <w:b/>
          <w:bCs/>
        </w:rPr>
        <w:t>（</w:t>
      </w:r>
      <w:r>
        <w:rPr>
          <w:rFonts w:cs="Times New Roman"/>
          <w:b/>
          <w:bCs/>
        </w:rPr>
        <w:t>1</w:t>
      </w:r>
      <w:r>
        <w:rPr>
          <w:rFonts w:hint="eastAsia" w:cs="Times New Roman"/>
          <w:b/>
          <w:bCs/>
        </w:rPr>
        <w:t>）固体污染源防治工程</w:t>
      </w:r>
    </w:p>
    <w:p>
      <w:pPr>
        <w:pStyle w:val="47"/>
        <w:numPr>
          <w:ilvl w:val="255"/>
          <w:numId w:val="0"/>
        </w:numPr>
        <w:ind w:left="561"/>
        <w:rPr>
          <w:rFonts w:cs="Times New Roman"/>
        </w:rPr>
      </w:pPr>
      <w:r>
        <w:rPr>
          <w:rFonts w:cs="Times New Roman"/>
        </w:rPr>
        <w:fldChar w:fldCharType="begin"/>
      </w:r>
      <w:r>
        <w:rPr>
          <w:rFonts w:cs="Times New Roman"/>
        </w:rPr>
        <w:instrText xml:space="preserve"> = 1 \* GB3 \* MERGEFORMAT </w:instrText>
      </w:r>
      <w:r>
        <w:rPr>
          <w:rFonts w:cs="Times New Roman"/>
        </w:rPr>
        <w:fldChar w:fldCharType="separate"/>
      </w:r>
      <w:r>
        <w:t>①</w:t>
      </w:r>
      <w:r>
        <w:rPr>
          <w:rFonts w:cs="Times New Roman"/>
        </w:rPr>
        <w:fldChar w:fldCharType="end"/>
      </w:r>
      <w:r>
        <w:rPr>
          <w:rFonts w:hint="eastAsia" w:cs="Times New Roman"/>
        </w:rPr>
        <w:t xml:space="preserve"> 废弃物集中清理</w:t>
      </w:r>
    </w:p>
    <w:p>
      <w:pPr>
        <w:ind w:firstLine="560"/>
        <w:rPr>
          <w:rFonts w:cs="Times New Roman"/>
        </w:rPr>
      </w:pPr>
      <w:r>
        <w:rPr>
          <w:rFonts w:hint="eastAsia" w:cs="Times New Roman"/>
        </w:rPr>
        <w:t>对水域及其周边区域进行一次全面、集中的废弃物清理，以清理长期</w:t>
      </w:r>
      <w:r>
        <w:rPr>
          <w:rFonts w:hint="eastAsia" w:ascii="仿宋" w:hAnsi="仿宋" w:cs="仿宋"/>
        </w:rPr>
        <w:t>“存储”的</w:t>
      </w:r>
      <w:r>
        <w:rPr>
          <w:rFonts w:hint="eastAsia" w:cs="Times New Roman"/>
        </w:rPr>
        <w:t>固体废弃物。同时，在局部废弃物污染严重的区域进行必要的消毒，以防止相关疾病的传播。不定期对公园周边社区居民进行湿地保护知识的宣传教育，提高群众生态环境保护的自觉意识，从源头上遏制污染源。湿地面积较大，计划购置打捞船4艘，打捞设备4套，采用打捞船及打捞设备，组织专门的队伍定期对水域漂浮垃圾集中清运，每个季度一次。对部分水域进行清淤处理，减少漂浮垃圾对水体的污染，保持良好的水质及水体景观。</w:t>
      </w:r>
    </w:p>
    <w:p>
      <w:pPr>
        <w:pStyle w:val="47"/>
        <w:numPr>
          <w:ilvl w:val="255"/>
          <w:numId w:val="0"/>
        </w:numPr>
        <w:ind w:left="561"/>
        <w:rPr>
          <w:rFonts w:cs="Times New Roman"/>
        </w:rPr>
      </w:pPr>
      <w:r>
        <w:rPr>
          <w:rFonts w:cs="Times New Roman"/>
        </w:rPr>
        <w:fldChar w:fldCharType="begin"/>
      </w:r>
      <w:r>
        <w:rPr>
          <w:rFonts w:cs="Times New Roman"/>
        </w:rPr>
        <w:instrText xml:space="preserve"> = 2 \* GB3 \* MERGEFORMAT </w:instrText>
      </w:r>
      <w:r>
        <w:rPr>
          <w:rFonts w:cs="Times New Roman"/>
        </w:rPr>
        <w:fldChar w:fldCharType="separate"/>
      </w:r>
      <w:r>
        <w:t>②</w:t>
      </w:r>
      <w:r>
        <w:rPr>
          <w:rFonts w:cs="Times New Roman"/>
        </w:rPr>
        <w:fldChar w:fldCharType="end"/>
      </w:r>
      <w:r>
        <w:rPr>
          <w:rFonts w:hint="eastAsia" w:cs="Times New Roman"/>
        </w:rPr>
        <w:t xml:space="preserve"> 农村生活垃圾防治与处理</w:t>
      </w:r>
    </w:p>
    <w:p>
      <w:pPr>
        <w:ind w:firstLine="560"/>
        <w:rPr>
          <w:rFonts w:cs="Times New Roman"/>
        </w:rPr>
      </w:pPr>
      <w:r>
        <w:rPr>
          <w:rFonts w:hint="eastAsia" w:cs="Times New Roman"/>
        </w:rPr>
        <w:t>规划按照户分类（垃圾箱）→组集中（垃圾池）→村转运转（转运车）的垃圾收集、转运方式，所有生活垃圾转运至专门垃圾场集中处理。通过农村生活垃圾分类方式，将垃圾分为有机垃圾、可回收废品、不可回收垃圾和危险废物四类，实现生活垃圾的源头减量化。经分类并投放到公用垃圾桶后，由村内环境保洁员利用垃圾收集车收集到垃圾收集站。最后，垃圾收集站的垃圾通过预处理装箱、运输至城市垃圾处理场或集中垃圾处理场。规划结合农村环境综合整治项目，对沿岸分布存在开展农村生活垃圾防治与处理项目，为湿地公园涉及村落各建设垃圾处理池</w:t>
      </w:r>
      <w:r>
        <w:rPr>
          <w:rFonts w:cs="Times New Roman"/>
        </w:rPr>
        <w:t>3</w:t>
      </w:r>
      <w:r>
        <w:rPr>
          <w:rFonts w:hint="eastAsia" w:cs="Times New Roman"/>
        </w:rPr>
        <w:t>9处，设置分类垃圾桶100</w:t>
      </w:r>
      <w:r>
        <w:rPr>
          <w:rFonts w:cs="Times New Roman"/>
        </w:rPr>
        <w:t>0</w:t>
      </w:r>
      <w:r>
        <w:rPr>
          <w:rFonts w:hint="eastAsia" w:cs="Times New Roman"/>
        </w:rPr>
        <w:t>套。</w:t>
      </w:r>
    </w:p>
    <w:p>
      <w:pPr>
        <w:pStyle w:val="47"/>
        <w:numPr>
          <w:ilvl w:val="255"/>
          <w:numId w:val="0"/>
        </w:numPr>
        <w:ind w:left="560"/>
        <w:rPr>
          <w:rFonts w:cs="Times New Roman"/>
          <w:b/>
          <w:bCs/>
        </w:rPr>
      </w:pPr>
      <w:r>
        <w:rPr>
          <w:rFonts w:hint="eastAsia" w:cs="Times New Roman"/>
          <w:b/>
          <w:bCs/>
        </w:rPr>
        <w:t>（</w:t>
      </w:r>
      <w:r>
        <w:rPr>
          <w:rFonts w:cs="Times New Roman"/>
          <w:b/>
          <w:bCs/>
        </w:rPr>
        <w:t>2</w:t>
      </w:r>
      <w:r>
        <w:rPr>
          <w:rFonts w:hint="eastAsia" w:cs="Times New Roman"/>
          <w:b/>
          <w:bCs/>
        </w:rPr>
        <w:t>）液体污染源防治工程</w:t>
      </w:r>
    </w:p>
    <w:p>
      <w:pPr>
        <w:pStyle w:val="47"/>
        <w:numPr>
          <w:ilvl w:val="255"/>
          <w:numId w:val="0"/>
        </w:numPr>
        <w:ind w:left="560"/>
        <w:rPr>
          <w:rFonts w:cs="Times New Roman"/>
        </w:rPr>
      </w:pPr>
      <w:r>
        <w:rPr>
          <w:rFonts w:cs="Times New Roman"/>
        </w:rPr>
        <w:fldChar w:fldCharType="begin"/>
      </w:r>
      <w:r>
        <w:rPr>
          <w:rFonts w:cs="Times New Roman"/>
        </w:rPr>
        <w:instrText xml:space="preserve"> = 1 \* GB3 \* MERGEFORMAT </w:instrText>
      </w:r>
      <w:r>
        <w:rPr>
          <w:rFonts w:cs="Times New Roman"/>
        </w:rPr>
        <w:fldChar w:fldCharType="separate"/>
      </w:r>
      <w:r>
        <w:t>①</w:t>
      </w:r>
      <w:r>
        <w:rPr>
          <w:rFonts w:cs="Times New Roman"/>
        </w:rPr>
        <w:fldChar w:fldCharType="end"/>
      </w:r>
      <w:r>
        <w:rPr>
          <w:rFonts w:hint="eastAsia" w:cs="Times New Roman"/>
        </w:rPr>
        <w:t xml:space="preserve"> 农村生活污水处理</w:t>
      </w:r>
    </w:p>
    <w:p>
      <w:pPr>
        <w:ind w:firstLine="560"/>
        <w:rPr>
          <w:rFonts w:cs="Times New Roman"/>
        </w:rPr>
      </w:pPr>
      <w:r>
        <w:rPr>
          <w:rFonts w:hint="eastAsia" w:cs="Times New Roman"/>
        </w:rPr>
        <w:t>在仙阳湖国家湿地公园区域周边两岸的居民生活集中区开展农村污染综合整治工程，杜绝畜禽养殖、生活等废水未经处理直接排入。为了保护湿地的生态环境，生活污水产生较多的地方主要是湿地公园人流较大的区域，对合理利用区生活污水处理直接与乡镇污水排水管道对接，进入乡镇污水处理系统，规划对沿岸分布的未接入乡镇污水处理系统的村落采用人工湿地+生态沟渠处理工艺进行生活污水处理（见图6-2），共建设</w:t>
      </w:r>
      <w:r>
        <w:rPr>
          <w:rFonts w:cs="Times New Roman"/>
        </w:rPr>
        <w:t>3</w:t>
      </w:r>
      <w:r>
        <w:rPr>
          <w:rFonts w:hint="eastAsia" w:cs="Times New Roman"/>
        </w:rPr>
        <w:t>9处。</w:t>
      </w:r>
    </w:p>
    <w:p>
      <w:pPr>
        <w:ind w:firstLine="0" w:firstLineChars="0"/>
        <w:jc w:val="center"/>
      </w:pPr>
      <w:r>
        <w:drawing>
          <wp:inline distT="0" distB="0" distL="114300" distR="114300">
            <wp:extent cx="4125595" cy="1570990"/>
            <wp:effectExtent l="0" t="0" r="1905" b="381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37"/>
                    <a:stretch>
                      <a:fillRect/>
                    </a:stretch>
                  </pic:blipFill>
                  <pic:spPr>
                    <a:xfrm>
                      <a:off x="0" y="0"/>
                      <a:ext cx="4125595" cy="1570990"/>
                    </a:xfrm>
                    <a:prstGeom prst="rect">
                      <a:avLst/>
                    </a:prstGeom>
                    <a:noFill/>
                    <a:ln>
                      <a:noFill/>
                    </a:ln>
                  </pic:spPr>
                </pic:pic>
              </a:graphicData>
            </a:graphic>
          </wp:inline>
        </w:drawing>
      </w:r>
    </w:p>
    <w:p>
      <w:pPr>
        <w:ind w:firstLine="0" w:firstLineChars="0"/>
        <w:jc w:val="center"/>
        <w:rPr>
          <w:sz w:val="24"/>
        </w:rPr>
      </w:pPr>
      <w:r>
        <w:rPr>
          <w:rFonts w:hint="eastAsia" w:ascii="黑体" w:hAnsi="黑体" w:eastAsia="黑体" w:cs="黑体"/>
          <w:sz w:val="24"/>
        </w:rPr>
        <w:t>图</w:t>
      </w:r>
      <w:r>
        <w:rPr>
          <w:rFonts w:eastAsia="黑体" w:cs="Times New Roman"/>
          <w:sz w:val="24"/>
        </w:rPr>
        <w:t>6-</w:t>
      </w:r>
      <w:r>
        <w:rPr>
          <w:rFonts w:hint="eastAsia" w:eastAsia="黑体" w:cs="Times New Roman"/>
          <w:sz w:val="24"/>
        </w:rPr>
        <w:t>2</w:t>
      </w:r>
      <w:r>
        <w:rPr>
          <w:rFonts w:ascii="黑体" w:hAnsi="黑体" w:eastAsia="黑体" w:cs="黑体"/>
          <w:sz w:val="24"/>
        </w:rPr>
        <w:t xml:space="preserve"> </w:t>
      </w:r>
      <w:r>
        <w:rPr>
          <w:rFonts w:hint="eastAsia" w:ascii="黑体" w:hAnsi="黑体" w:eastAsia="黑体" w:cs="黑体"/>
          <w:sz w:val="24"/>
        </w:rPr>
        <w:t>人工湿地+生态沟渠</w:t>
      </w:r>
      <w:r>
        <w:rPr>
          <w:rFonts w:ascii="黑体" w:hAnsi="黑体" w:eastAsia="黑体" w:cs="黑体"/>
          <w:sz w:val="24"/>
        </w:rPr>
        <w:t>示意图</w:t>
      </w:r>
    </w:p>
    <w:p>
      <w:pPr>
        <w:pStyle w:val="47"/>
        <w:numPr>
          <w:ilvl w:val="255"/>
          <w:numId w:val="0"/>
        </w:numPr>
        <w:ind w:left="560"/>
        <w:rPr>
          <w:rFonts w:cs="Times New Roman"/>
        </w:rPr>
      </w:pPr>
      <w:r>
        <w:rPr>
          <w:rFonts w:cs="Times New Roman"/>
        </w:rPr>
        <w:fldChar w:fldCharType="begin"/>
      </w:r>
      <w:r>
        <w:rPr>
          <w:rFonts w:cs="Times New Roman"/>
        </w:rPr>
        <w:instrText xml:space="preserve"> = 2 \* GB3 \* MERGEFORMAT </w:instrText>
      </w:r>
      <w:r>
        <w:rPr>
          <w:rFonts w:cs="Times New Roman"/>
        </w:rPr>
        <w:fldChar w:fldCharType="separate"/>
      </w:r>
      <w:r>
        <w:t>②</w:t>
      </w:r>
      <w:r>
        <w:rPr>
          <w:rFonts w:cs="Times New Roman"/>
        </w:rPr>
        <w:fldChar w:fldCharType="end"/>
      </w:r>
      <w:r>
        <w:rPr>
          <w:rFonts w:hint="eastAsia" w:cs="Times New Roman"/>
        </w:rPr>
        <w:t xml:space="preserve"> 农业面源污染控制</w:t>
      </w:r>
    </w:p>
    <w:p>
      <w:pPr>
        <w:ind w:firstLine="560"/>
        <w:rPr>
          <w:rFonts w:cs="Times New Roman"/>
        </w:rPr>
      </w:pPr>
      <w:r>
        <w:rPr>
          <w:rFonts w:hint="eastAsia" w:cs="Times New Roman"/>
        </w:rPr>
        <w:t>农业面源污染是影响湿地公园生态环境健康、良性发展的主要污染源。根据湿地公园周边农业面源污染产生、发展的特征，规划采</w:t>
      </w:r>
      <w:r>
        <w:rPr>
          <w:rFonts w:hint="eastAsia" w:ascii="仿宋" w:hAnsi="仿宋" w:cs="仿宋"/>
        </w:rPr>
        <w:t>用“减源—拦截—修复”措</w:t>
      </w:r>
      <w:r>
        <w:rPr>
          <w:rFonts w:hint="eastAsia" w:cs="Times New Roman"/>
        </w:rPr>
        <w:t>施对湿地公园周边的农业面源污染进行治理，从污染物产生的源头开展污染物的减量化工程，在污染物迁移过程中开展污染物的拦截与阻断工程，并对面源污染物进行深度的处理与再净化，在此基础上对农业生态系统进行环保修复，实现农业生态系统自我修复功能的提高和系统的稳态转换。</w:t>
      </w:r>
    </w:p>
    <w:p>
      <w:pPr>
        <w:ind w:left="561" w:firstLine="0" w:firstLineChars="0"/>
        <w:rPr>
          <w:rFonts w:cs="Times New Roman"/>
        </w:rPr>
      </w:pPr>
      <w:r>
        <w:rPr>
          <w:rFonts w:hint="eastAsia" w:cs="Times New Roman"/>
        </w:rPr>
        <w:t>A.</w:t>
      </w:r>
      <w:r>
        <w:rPr>
          <w:rFonts w:hint="eastAsia" w:ascii="仿宋" w:hAnsi="仿宋" w:cs="仿宋"/>
        </w:rPr>
        <w:t>“减源”</w:t>
      </w:r>
    </w:p>
    <w:p>
      <w:pPr>
        <w:ind w:firstLine="560"/>
        <w:rPr>
          <w:rFonts w:cs="Times New Roman"/>
        </w:rPr>
      </w:pPr>
      <w:r>
        <w:rPr>
          <w:rFonts w:hint="eastAsia" w:cs="Times New Roman"/>
        </w:rPr>
        <w:t>农业面源污染产生的源头主要来源包括：农田过量使用农药化肥引起的氮、磷流失和残留农药的污染；农村分散式生活污水未经处理直接向河道排放；农业固体废弃物及生活垃圾随意堆放，降雨时产生的径流污染。三个农业面源污染源头中的农村分散式生活污水和固体废弃物及生活垃圾已通过其他建设项目进行了治理，对于农田过量使用农药化肥引起的污染，规划在湿地公园沿岸较为集中的农耕区设立10</w:t>
      </w:r>
      <w:r>
        <w:rPr>
          <w:rFonts w:cs="Times New Roman"/>
        </w:rPr>
        <w:t>00</w:t>
      </w:r>
      <w:r>
        <w:rPr>
          <w:rFonts w:hint="eastAsia" w:cs="Times New Roman"/>
        </w:rPr>
        <w:t>个太阳能杀虫灯，进行示范建设，逐步推广使用太阳能灯杀虫，引导减少化肥和农药使用量，降低农药残留，提高产品品质，减少对环境的污染。</w:t>
      </w:r>
    </w:p>
    <w:p>
      <w:pPr>
        <w:ind w:firstLine="560"/>
        <w:rPr>
          <w:rFonts w:ascii="仿宋" w:hAnsi="仿宋" w:cs="仿宋"/>
        </w:rPr>
      </w:pPr>
      <w:r>
        <w:rPr>
          <w:rFonts w:hint="eastAsia" w:cs="Times New Roman"/>
        </w:rPr>
        <w:t>B</w:t>
      </w:r>
      <w:r>
        <w:rPr>
          <w:rFonts w:ascii="仿宋" w:hAnsi="仿宋" w:cs="仿宋"/>
        </w:rPr>
        <w:t>.</w:t>
      </w:r>
      <w:r>
        <w:rPr>
          <w:rFonts w:hint="eastAsia" w:ascii="仿宋" w:hAnsi="仿宋" w:cs="仿宋"/>
        </w:rPr>
        <w:t>“拦截”</w:t>
      </w:r>
    </w:p>
    <w:p>
      <w:pPr>
        <w:ind w:firstLine="560"/>
        <w:rPr>
          <w:rFonts w:cs="Times New Roman"/>
        </w:rPr>
      </w:pPr>
      <w:r>
        <w:rPr>
          <w:rFonts w:hint="eastAsia" w:ascii="仿宋" w:hAnsi="仿宋" w:cs="仿宋"/>
        </w:rPr>
        <w:t>在“减源”的基础之上</w:t>
      </w:r>
      <w:r>
        <w:rPr>
          <w:rFonts w:hint="eastAsia" w:cs="Times New Roman"/>
        </w:rPr>
        <w:t>，对于无法减量的污染物质（如无法减少集约化农业化肥施用量；农村分散式生活污水在已通过建设农村生活污水处理系统进行净化），在面源污染物质迁移的过程中，利用拦截和阻断技术，阻碍污染物质的运移或延长污染物质的迁移路径，从而实现污染物质迁移与扩散量的最小化。</w:t>
      </w:r>
    </w:p>
    <w:p>
      <w:pPr>
        <w:ind w:firstLine="560"/>
        <w:rPr>
          <w:rFonts w:cs="Times New Roman"/>
        </w:rPr>
      </w:pPr>
      <w:r>
        <w:rPr>
          <w:rFonts w:hint="eastAsia" w:cs="Times New Roman"/>
        </w:rPr>
        <w:t>规划将湿地公园内沟渠改造为生态沟渠，涉及长度117公里。</w:t>
      </w:r>
    </w:p>
    <w:p>
      <w:pPr>
        <w:ind w:firstLine="560"/>
        <w:rPr>
          <w:rFonts w:ascii="仿宋" w:hAnsi="仿宋" w:cs="仿宋"/>
        </w:rPr>
      </w:pPr>
      <w:r>
        <w:rPr>
          <w:rFonts w:hint="eastAsia" w:cs="Times New Roman"/>
        </w:rPr>
        <w:t>C.</w:t>
      </w:r>
      <w:r>
        <w:rPr>
          <w:rFonts w:hint="eastAsia" w:ascii="仿宋" w:hAnsi="仿宋" w:cs="仿宋"/>
        </w:rPr>
        <w:t>“修复”</w:t>
      </w:r>
    </w:p>
    <w:p>
      <w:pPr>
        <w:ind w:firstLine="560"/>
        <w:rPr>
          <w:rFonts w:cs="Times New Roman"/>
        </w:rPr>
      </w:pPr>
      <w:r>
        <w:rPr>
          <w:rFonts w:hint="eastAsia" w:ascii="仿宋" w:hAnsi="仿宋" w:cs="仿宋"/>
        </w:rPr>
        <w:t>“修复”：主要内容包括重</w:t>
      </w:r>
      <w:r>
        <w:rPr>
          <w:rFonts w:hint="eastAsia" w:cs="Times New Roman"/>
        </w:rPr>
        <w:t>建生态系统的植被，重建基本的生态系统生产者—消费者—分解者结构，使之形成具有循环功能的食物网关系，以生态工程措施恢复和提高系统的生物多样性，使之渐趋稳定，最终实现农业生态系统自我修复能力的提高和自我净化能力的强化，由损伤状态向健康稳定状态转化。</w:t>
      </w:r>
    </w:p>
    <w:p>
      <w:pPr>
        <w:ind w:firstLine="560"/>
        <w:rPr>
          <w:rFonts w:cs="Times New Roman"/>
        </w:rPr>
      </w:pPr>
      <w:r>
        <w:rPr>
          <w:rFonts w:hint="eastAsia" w:cs="Times New Roman"/>
        </w:rPr>
        <w:t>规划在湿地公园沿岸农耕较发达的区域建设带状人工湿地生态系统面积共</w:t>
      </w:r>
      <w:r>
        <w:rPr>
          <w:rFonts w:cs="Times New Roman"/>
        </w:rPr>
        <w:t>120</w:t>
      </w:r>
      <w:r>
        <w:rPr>
          <w:rFonts w:hint="eastAsia" w:cs="Times New Roman"/>
        </w:rPr>
        <w:t>公顷。依据《人工湿地污水处理工程技术规范》（HJ</w:t>
      </w:r>
      <w:r>
        <w:rPr>
          <w:rFonts w:cs="Times New Roman"/>
        </w:rPr>
        <w:t xml:space="preserve"> </w:t>
      </w:r>
      <w:r>
        <w:rPr>
          <w:rFonts w:hint="eastAsia" w:cs="Times New Roman"/>
        </w:rPr>
        <w:t>2005-2010），结合湿地公园农业面源污染状况和地形地貌，规划采用表面流人工湿地类型，其一般工艺流程为：污水→人工湿地→排放（见图6-3）。人工湿地生态系统一般构建流程为：控制水深0.6～0.7</w:t>
      </w:r>
      <w:r>
        <w:rPr>
          <w:rFonts w:cs="Times New Roman"/>
        </w:rPr>
        <w:t>米</w:t>
      </w:r>
      <w:r>
        <w:rPr>
          <w:rFonts w:hint="eastAsia" w:cs="Times New Roman"/>
        </w:rPr>
        <w:t>，坡降比5.0‰。在部分地段池底自下而上分别设置0.2</w:t>
      </w:r>
      <w:r>
        <w:rPr>
          <w:rFonts w:cs="Times New Roman"/>
        </w:rPr>
        <w:t>米</w:t>
      </w:r>
      <w:r>
        <w:rPr>
          <w:rFonts w:hint="eastAsia" w:cs="Times New Roman"/>
        </w:rPr>
        <w:t>厚的粘土层、0.6</w:t>
      </w:r>
      <w:r>
        <w:rPr>
          <w:rFonts w:cs="Times New Roman"/>
        </w:rPr>
        <w:t>米</w:t>
      </w:r>
      <w:r>
        <w:rPr>
          <w:rFonts w:hint="eastAsia" w:cs="Times New Roman"/>
        </w:rPr>
        <w:t>厚的细碎石和0.1</w:t>
      </w:r>
      <w:r>
        <w:rPr>
          <w:rFonts w:cs="Times New Roman"/>
        </w:rPr>
        <w:t>米</w:t>
      </w:r>
      <w:r>
        <w:rPr>
          <w:rFonts w:hint="eastAsia" w:cs="Times New Roman"/>
        </w:rPr>
        <w:t>厚的覆土层。植物种类选择以荷花、香蒲、菖蒲、灯心草为主。在芦苇等挺水植物前、后分别配置浮萍等浮水植物和苦草等沉水植物。根据微地形和土壤条件等，可以根据以上流程进行适当调整。</w:t>
      </w:r>
    </w:p>
    <w:p>
      <w:pPr>
        <w:ind w:firstLine="0" w:firstLineChars="0"/>
        <w:jc w:val="center"/>
        <w:rPr>
          <w:rFonts w:cs="Times New Roman"/>
        </w:rPr>
      </w:pPr>
      <w:r>
        <w:rPr>
          <w:rFonts w:hint="eastAsia" w:cs="Times New Roman"/>
        </w:rPr>
        <w:drawing>
          <wp:inline distT="0" distB="0" distL="114300" distR="114300">
            <wp:extent cx="5554980" cy="3430905"/>
            <wp:effectExtent l="0" t="0" r="7620" b="10795"/>
            <wp:docPr id="15" name="图片 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
                    <pic:cNvPicPr>
                      <a:picLocks noChangeAspect="1"/>
                    </pic:cNvPicPr>
                  </pic:nvPicPr>
                  <pic:blipFill>
                    <a:blip r:embed="rId38"/>
                    <a:stretch>
                      <a:fillRect/>
                    </a:stretch>
                  </pic:blipFill>
                  <pic:spPr>
                    <a:xfrm>
                      <a:off x="0" y="0"/>
                      <a:ext cx="5554980" cy="3430905"/>
                    </a:xfrm>
                    <a:prstGeom prst="rect">
                      <a:avLst/>
                    </a:prstGeom>
                  </pic:spPr>
                </pic:pic>
              </a:graphicData>
            </a:graphic>
          </wp:inline>
        </w:drawing>
      </w:r>
    </w:p>
    <w:p>
      <w:pPr>
        <w:widowControl/>
        <w:ind w:firstLine="0" w:firstLineChars="0"/>
        <w:jc w:val="center"/>
        <w:rPr>
          <w:rFonts w:ascii="黑体" w:hAnsi="黑体" w:eastAsia="黑体" w:cs="黑体"/>
          <w:color w:val="000000"/>
          <w:kern w:val="0"/>
          <w:sz w:val="24"/>
          <w:lang w:bidi="ar"/>
        </w:rPr>
      </w:pPr>
      <w:r>
        <w:rPr>
          <w:rFonts w:hint="eastAsia" w:ascii="黑体" w:hAnsi="黑体" w:eastAsia="黑体" w:cs="黑体"/>
          <w:sz w:val="24"/>
        </w:rPr>
        <w:t>图</w:t>
      </w:r>
      <w:r>
        <w:rPr>
          <w:rFonts w:eastAsia="黑体" w:cs="Times New Roman"/>
          <w:sz w:val="24"/>
        </w:rPr>
        <w:t>6-</w:t>
      </w:r>
      <w:r>
        <w:rPr>
          <w:rFonts w:hint="eastAsia" w:eastAsia="黑体" w:cs="Times New Roman"/>
          <w:sz w:val="24"/>
        </w:rPr>
        <w:t>3</w:t>
      </w:r>
      <w:r>
        <w:rPr>
          <w:rFonts w:ascii="黑体" w:hAnsi="黑体" w:eastAsia="黑体" w:cs="黑体"/>
          <w:sz w:val="24"/>
        </w:rPr>
        <w:t xml:space="preserve"> </w:t>
      </w:r>
      <w:r>
        <w:rPr>
          <w:rFonts w:ascii="黑体" w:hAnsi="黑体" w:eastAsia="黑体" w:cs="黑体"/>
          <w:color w:val="000000"/>
          <w:kern w:val="0"/>
          <w:sz w:val="24"/>
          <w:lang w:bidi="ar"/>
        </w:rPr>
        <w:t>带状人工湿地建设模式示意图</w:t>
      </w:r>
    </w:p>
    <w:p>
      <w:pPr>
        <w:pStyle w:val="47"/>
        <w:ind w:firstLine="562"/>
        <w:rPr>
          <w:rFonts w:cs="Times New Roman"/>
          <w:b/>
          <w:bCs/>
        </w:rPr>
      </w:pPr>
      <w:r>
        <w:rPr>
          <w:rFonts w:hint="eastAsia" w:cs="Times New Roman"/>
          <w:b/>
          <w:bCs/>
        </w:rPr>
        <w:t>（</w:t>
      </w:r>
      <w:r>
        <w:rPr>
          <w:rFonts w:cs="Times New Roman"/>
          <w:b/>
          <w:bCs/>
        </w:rPr>
        <w:t>3</w:t>
      </w:r>
      <w:r>
        <w:rPr>
          <w:rFonts w:hint="eastAsia" w:cs="Times New Roman"/>
          <w:b/>
          <w:bCs/>
        </w:rPr>
        <w:t>）富营养化治理项目</w:t>
      </w:r>
    </w:p>
    <w:p>
      <w:pPr>
        <w:pStyle w:val="21"/>
        <w:ind w:firstLine="560"/>
        <w:rPr>
          <w:rFonts w:cs="Times New Roman"/>
          <w:szCs w:val="28"/>
        </w:rPr>
      </w:pPr>
      <w:r>
        <w:rPr>
          <w:rFonts w:hint="eastAsia" w:cs="Times New Roman"/>
          <w:szCs w:val="28"/>
        </w:rPr>
        <w:t>积极开展水体富营养化防治，通过水生动植物的恢复，构建完善的水生生态系统和生态链，提高水体的自净能力，去除内源污染物质，恢复水质和景观。</w:t>
      </w:r>
    </w:p>
    <w:p>
      <w:pPr>
        <w:pStyle w:val="21"/>
        <w:ind w:firstLine="560"/>
        <w:rPr>
          <w:rFonts w:cs="Times New Roman"/>
          <w:szCs w:val="28"/>
        </w:rPr>
      </w:pPr>
      <w:r>
        <w:rPr>
          <w:rFonts w:cs="Times New Roman"/>
          <w:szCs w:val="28"/>
        </w:rPr>
        <w:fldChar w:fldCharType="begin"/>
      </w:r>
      <w:r>
        <w:rPr>
          <w:rFonts w:cs="Times New Roman"/>
          <w:szCs w:val="28"/>
        </w:rPr>
        <w:instrText xml:space="preserve"> = 1 \* GB3 \* MERGEFORMAT </w:instrText>
      </w:r>
      <w:r>
        <w:rPr>
          <w:rFonts w:cs="Times New Roman"/>
          <w:szCs w:val="28"/>
        </w:rPr>
        <w:fldChar w:fldCharType="separate"/>
      </w:r>
      <w:r>
        <w:t>①</w:t>
      </w:r>
      <w:r>
        <w:rPr>
          <w:rFonts w:cs="Times New Roman"/>
          <w:szCs w:val="28"/>
        </w:rPr>
        <w:fldChar w:fldCharType="end"/>
      </w:r>
      <w:r>
        <w:rPr>
          <w:rFonts w:hint="eastAsia" w:cs="Times New Roman"/>
          <w:szCs w:val="28"/>
        </w:rPr>
        <w:t xml:space="preserve"> 水生植物修复。通过种植沉水植物、挺水植物和浮叶植物等，利用植物吸收、吸附作用，降解、转化水体中的有机污染物，继而通过收获植物本体的形式将有机污染物从水体清除出去。</w:t>
      </w:r>
    </w:p>
    <w:p>
      <w:pPr>
        <w:pStyle w:val="21"/>
        <w:ind w:firstLine="560"/>
        <w:rPr>
          <w:rFonts w:cs="Times New Roman"/>
          <w:szCs w:val="28"/>
        </w:rPr>
      </w:pPr>
      <w:r>
        <w:rPr>
          <w:rFonts w:cs="Times New Roman"/>
          <w:szCs w:val="28"/>
        </w:rPr>
        <w:fldChar w:fldCharType="begin"/>
      </w:r>
      <w:r>
        <w:rPr>
          <w:rFonts w:cs="Times New Roman"/>
          <w:szCs w:val="28"/>
        </w:rPr>
        <w:instrText xml:space="preserve"> = 2 \* GB3 \* MERGEFORMAT </w:instrText>
      </w:r>
      <w:r>
        <w:rPr>
          <w:rFonts w:cs="Times New Roman"/>
          <w:szCs w:val="28"/>
        </w:rPr>
        <w:fldChar w:fldCharType="separate"/>
      </w:r>
      <w:r>
        <w:t>②</w:t>
      </w:r>
      <w:r>
        <w:rPr>
          <w:rFonts w:cs="Times New Roman"/>
          <w:szCs w:val="28"/>
        </w:rPr>
        <w:fldChar w:fldCharType="end"/>
      </w:r>
      <w:r>
        <w:rPr>
          <w:rFonts w:hint="eastAsia" w:cs="Times New Roman"/>
          <w:szCs w:val="28"/>
        </w:rPr>
        <w:t xml:space="preserve"> 生物操纵法。根据水体本来生态链、食物链和食物网结构，通过进行水生植物、水生动物群落的合理配置，充分利用生态学原理，构建湿地生态系统比较合理的食物网和生态链，构建健康的水生态系统，提高自身的净化能力。例如在自然情况下，草鱼吃水草为主，鲢鱼以浮游植物为食，鳙鱼主要吃浮游动物，黄颡鱼、鲤鱼和鲫鱼则以昆虫幼虫、水生高等植物碎片、杂物碎屑及藻类等杂食性食物为主。根据以上鱼类不同的食性特点，可以使这些鱼类在养殖过程中相互利用，充分利用生态位空间和资源，提高水产品的附加值和产出率，又能实现富营养化治理的目的。本期规划仙阳湖水域合理利用区开展以鲢鳙为主的生态养殖。</w:t>
      </w:r>
    </w:p>
    <w:p>
      <w:pPr>
        <w:pStyle w:val="5"/>
        <w:numPr>
          <w:ilvl w:val="1"/>
          <w:numId w:val="48"/>
        </w:numPr>
        <w:spacing w:before="197"/>
      </w:pPr>
      <w:bookmarkStart w:id="317" w:name="_Toc113925775"/>
      <w:bookmarkStart w:id="318" w:name="_Toc2070"/>
      <w:bookmarkStart w:id="319" w:name="_Toc113925523"/>
      <w:bookmarkStart w:id="320" w:name="_Toc114084655"/>
      <w:bookmarkStart w:id="321" w:name="_Toc144"/>
      <w:bookmarkStart w:id="322" w:name="_Toc117114383"/>
      <w:r>
        <w:rPr>
          <w:rFonts w:hint="eastAsia"/>
        </w:rPr>
        <w:t>水岸保护（恢复）规划</w:t>
      </w:r>
      <w:bookmarkEnd w:id="317"/>
      <w:bookmarkEnd w:id="318"/>
      <w:bookmarkEnd w:id="319"/>
      <w:bookmarkEnd w:id="320"/>
      <w:bookmarkEnd w:id="321"/>
      <w:bookmarkEnd w:id="322"/>
    </w:p>
    <w:p>
      <w:pPr>
        <w:pStyle w:val="6"/>
        <w:numPr>
          <w:ilvl w:val="2"/>
          <w:numId w:val="49"/>
        </w:numPr>
      </w:pPr>
      <w:bookmarkStart w:id="323" w:name="_Toc113925776"/>
      <w:bookmarkStart w:id="324" w:name="_Toc113925524"/>
      <w:r>
        <w:rPr>
          <w:rFonts w:hint="eastAsia"/>
        </w:rPr>
        <w:t>水岸现状</w:t>
      </w:r>
      <w:bookmarkEnd w:id="323"/>
      <w:bookmarkEnd w:id="324"/>
    </w:p>
    <w:p>
      <w:pPr>
        <w:widowControl/>
        <w:ind w:firstLine="560"/>
        <w:rPr>
          <w:rFonts w:ascii="仿宋" w:hAnsi="仿宋" w:cs="仿宋"/>
        </w:rPr>
      </w:pPr>
      <w:r>
        <w:rPr>
          <w:rFonts w:hint="eastAsia" w:ascii="仿宋" w:hAnsi="仿宋" w:eastAsia="仿宋_GB2312" w:cs="仿宋"/>
        </w:rPr>
        <w:t>仙阳湖国家湿地公园</w:t>
      </w:r>
      <w:r>
        <w:rPr>
          <w:rFonts w:ascii="仿宋_GB2312" w:hAnsi="宋体" w:eastAsia="仿宋_GB2312" w:cs="仿宋_GB2312"/>
          <w:color w:val="000000"/>
          <w:kern w:val="0"/>
          <w:szCs w:val="28"/>
          <w:lang w:bidi="ar"/>
        </w:rPr>
        <w:t>属于库塘型湿地公园，受季节性汛期的影响湿地公园内的水位变化特征明显，平均落差达</w:t>
      </w:r>
      <w:r>
        <w:rPr>
          <w:rFonts w:hint="eastAsia" w:ascii="仿宋_GB2312" w:hAnsi="宋体" w:eastAsia="仿宋_GB2312" w:cs="仿宋_GB2312"/>
          <w:color w:val="000000"/>
          <w:kern w:val="0"/>
          <w:szCs w:val="28"/>
          <w:lang w:bidi="ar"/>
        </w:rPr>
        <w:t>1</w:t>
      </w:r>
      <w:r>
        <w:rPr>
          <w:rFonts w:hint="eastAsia" w:eastAsia="宋体" w:cs="Times New Roman"/>
          <w:color w:val="000000"/>
          <w:kern w:val="0"/>
          <w:szCs w:val="28"/>
          <w:lang w:bidi="ar"/>
        </w:rPr>
        <w:t>5</w:t>
      </w:r>
      <w:r>
        <w:rPr>
          <w:rFonts w:hint="eastAsia" w:ascii="仿宋_GB2312" w:hAnsi="宋体" w:eastAsia="仿宋_GB2312" w:cs="仿宋_GB2312"/>
          <w:color w:val="000000"/>
          <w:kern w:val="0"/>
          <w:szCs w:val="28"/>
          <w:lang w:bidi="ar"/>
        </w:rPr>
        <w:t>米</w:t>
      </w:r>
      <w:r>
        <w:rPr>
          <w:rFonts w:ascii="仿宋_GB2312" w:hAnsi="宋体" w:eastAsia="仿宋_GB2312" w:cs="仿宋_GB2312"/>
          <w:color w:val="000000"/>
          <w:kern w:val="0"/>
          <w:szCs w:val="28"/>
          <w:lang w:bidi="ar"/>
        </w:rPr>
        <w:t>。如此大落差水位的季节性变化，造成湿地公园内存在明显的消涨带，植被稀疏。</w:t>
      </w:r>
      <w:r>
        <w:rPr>
          <w:rFonts w:hint="eastAsia" w:ascii="仿宋" w:hAnsi="仿宋" w:cs="仿宋"/>
        </w:rPr>
        <w:t>湿地公园范围内大部分河岸均保持原始状态，局部植被长势较差（如渫水、峡峪河、仙阳湖），主要原因为公园两岸居民活动较频繁，对其水岸生态系统造成了一定的破坏。</w:t>
      </w:r>
    </w:p>
    <w:p>
      <w:pPr>
        <w:pStyle w:val="6"/>
        <w:numPr>
          <w:ilvl w:val="2"/>
          <w:numId w:val="49"/>
        </w:numPr>
      </w:pPr>
      <w:bookmarkStart w:id="325" w:name="_Toc113925777"/>
      <w:bookmarkStart w:id="326" w:name="_Toc113925525"/>
      <w:r>
        <w:rPr>
          <w:rFonts w:hint="eastAsia"/>
        </w:rPr>
        <w:t>建设思路</w:t>
      </w:r>
      <w:bookmarkEnd w:id="325"/>
      <w:bookmarkEnd w:id="326"/>
    </w:p>
    <w:p>
      <w:pPr>
        <w:pStyle w:val="47"/>
        <w:numPr>
          <w:ilvl w:val="0"/>
          <w:numId w:val="50"/>
        </w:numPr>
        <w:ind w:firstLineChars="0"/>
        <w:rPr>
          <w:rFonts w:cs="Times New Roman"/>
        </w:rPr>
      </w:pPr>
      <w:r>
        <w:rPr>
          <w:rFonts w:hint="eastAsia" w:cs="Times New Roman"/>
        </w:rPr>
        <w:t>对现有良好的水岸生态系统进行严格保护，保护其结构的完整性，维护其生态功能的有效发挥。</w:t>
      </w:r>
    </w:p>
    <w:p>
      <w:pPr>
        <w:pStyle w:val="47"/>
        <w:numPr>
          <w:ilvl w:val="0"/>
          <w:numId w:val="50"/>
        </w:numPr>
        <w:ind w:firstLineChars="0"/>
        <w:rPr>
          <w:rFonts w:cs="Times New Roman"/>
        </w:rPr>
      </w:pPr>
      <w:r>
        <w:rPr>
          <w:rFonts w:hint="eastAsia" w:cs="Times New Roman"/>
        </w:rPr>
        <w:t>对已经破坏或缺失的水岸进行恢复和修复，因地制宜地进行水岸生态系统的重建、恢复和修复，开展水岸的</w:t>
      </w:r>
      <w:r>
        <w:rPr>
          <w:rFonts w:hint="eastAsia" w:ascii="仿宋" w:hAnsi="仿宋" w:cs="仿宋"/>
        </w:rPr>
        <w:t>“三化”</w:t>
      </w:r>
      <w:r>
        <w:rPr>
          <w:rFonts w:hint="eastAsia" w:cs="Times New Roman"/>
        </w:rPr>
        <w:t>（美化、绿化、生态化）建设。</w:t>
      </w:r>
    </w:p>
    <w:p>
      <w:pPr>
        <w:pStyle w:val="47"/>
        <w:numPr>
          <w:ilvl w:val="0"/>
          <w:numId w:val="50"/>
        </w:numPr>
        <w:ind w:firstLineChars="0"/>
        <w:rPr>
          <w:rFonts w:cs="Times New Roman"/>
        </w:rPr>
      </w:pPr>
      <w:r>
        <w:rPr>
          <w:rFonts w:hint="eastAsia" w:cs="Times New Roman"/>
        </w:rPr>
        <w:t>选择适合于鸟类栖息的植物进行水岸建设，在进行水岸建设的同时营造良好的生物栖息地。</w:t>
      </w:r>
    </w:p>
    <w:p>
      <w:pPr>
        <w:pStyle w:val="47"/>
        <w:numPr>
          <w:ilvl w:val="0"/>
          <w:numId w:val="50"/>
        </w:numPr>
        <w:ind w:firstLineChars="0"/>
        <w:rPr>
          <w:rFonts w:cs="Times New Roman"/>
        </w:rPr>
      </w:pPr>
      <w:r>
        <w:rPr>
          <w:rFonts w:hint="eastAsia" w:cs="Times New Roman"/>
        </w:rPr>
        <w:t>水岸的建设以生态工程措施为主，在特殊地段可采取工程措施与生物措施相结合的模式进行建设，对于人难以到达区域尽量保持其自然状态。</w:t>
      </w:r>
    </w:p>
    <w:p>
      <w:pPr>
        <w:pStyle w:val="47"/>
        <w:numPr>
          <w:ilvl w:val="0"/>
          <w:numId w:val="50"/>
        </w:numPr>
        <w:ind w:firstLineChars="0"/>
        <w:rPr>
          <w:rFonts w:cs="Times New Roman"/>
        </w:rPr>
      </w:pPr>
      <w:r>
        <w:rPr>
          <w:rFonts w:hint="eastAsia" w:cs="Times New Roman"/>
        </w:rPr>
        <w:t>在工程建设中应当采用生态材料。</w:t>
      </w:r>
    </w:p>
    <w:p>
      <w:pPr>
        <w:pStyle w:val="47"/>
        <w:numPr>
          <w:ilvl w:val="0"/>
          <w:numId w:val="50"/>
        </w:numPr>
        <w:ind w:firstLineChars="0"/>
        <w:rPr>
          <w:rFonts w:cs="Times New Roman"/>
        </w:rPr>
      </w:pPr>
      <w:r>
        <w:rPr>
          <w:rFonts w:hint="eastAsia" w:cs="Times New Roman"/>
        </w:rPr>
        <w:t>水岸生态系统保护建设应该以乡土植被为主，严格限制外来物种的引入。</w:t>
      </w:r>
    </w:p>
    <w:p>
      <w:pPr>
        <w:pStyle w:val="6"/>
        <w:numPr>
          <w:ilvl w:val="2"/>
          <w:numId w:val="49"/>
        </w:numPr>
      </w:pPr>
      <w:bookmarkStart w:id="327" w:name="_Toc113925778"/>
      <w:bookmarkStart w:id="328" w:name="_Toc113925526"/>
      <w:r>
        <w:rPr>
          <w:rFonts w:hint="eastAsia"/>
        </w:rPr>
        <w:t>建设内容</w:t>
      </w:r>
      <w:bookmarkEnd w:id="327"/>
      <w:bookmarkEnd w:id="328"/>
    </w:p>
    <w:p>
      <w:pPr>
        <w:widowControl/>
        <w:ind w:left="420" w:firstLine="560"/>
        <w:jc w:val="left"/>
        <w:rPr>
          <w:rFonts w:cs="Times New Roman"/>
          <w:color w:val="000000"/>
          <w:kern w:val="0"/>
          <w:szCs w:val="28"/>
          <w:lang w:bidi="ar"/>
        </w:rPr>
      </w:pPr>
      <w:r>
        <w:rPr>
          <w:rFonts w:hint="eastAsia" w:cs="Times New Roman"/>
          <w:color w:val="000000"/>
          <w:kern w:val="0"/>
          <w:szCs w:val="28"/>
          <w:lang w:bidi="ar"/>
        </w:rPr>
        <w:t>规划对仙阳湖全岸带实施保护与修复工程，根据现有岸带的特点，分别按照完全演替系列修复模式、不完全演替系列修复模式、自然演替修复模式、</w:t>
      </w:r>
      <w:r>
        <w:rPr>
          <w:rFonts w:ascii="仿宋" w:hAnsi="仿宋" w:cs="仿宋"/>
          <w:color w:val="000000"/>
          <w:kern w:val="0"/>
          <w:szCs w:val="28"/>
          <w:lang w:bidi="ar"/>
        </w:rPr>
        <w:t>混合修复模式</w:t>
      </w:r>
      <w:r>
        <w:rPr>
          <w:rFonts w:hint="eastAsia" w:ascii="仿宋" w:hAnsi="仿宋" w:cs="仿宋"/>
          <w:color w:val="000000"/>
          <w:kern w:val="0"/>
          <w:szCs w:val="28"/>
          <w:lang w:bidi="ar"/>
        </w:rPr>
        <w:t>进行保护与修复。</w:t>
      </w:r>
    </w:p>
    <w:p>
      <w:pPr>
        <w:widowControl/>
        <w:ind w:firstLine="562"/>
        <w:jc w:val="left"/>
        <w:rPr>
          <w:rFonts w:cs="Times New Roman"/>
          <w:szCs w:val="28"/>
        </w:rPr>
      </w:pPr>
      <w:r>
        <w:rPr>
          <w:rFonts w:cs="Times New Roman"/>
          <w:b/>
          <w:bCs/>
          <w:color w:val="000000"/>
          <w:kern w:val="0"/>
          <w:szCs w:val="28"/>
          <w:lang w:bidi="ar"/>
        </w:rPr>
        <w:t>（1</w:t>
      </w:r>
      <w:r>
        <w:rPr>
          <w:rFonts w:hint="eastAsia" w:cs="Times New Roman"/>
          <w:b/>
          <w:bCs/>
          <w:color w:val="000000"/>
          <w:kern w:val="0"/>
          <w:szCs w:val="28"/>
          <w:lang w:bidi="ar"/>
        </w:rPr>
        <w:t>）仙阳湖湖滨消涨带保护和修复工程</w:t>
      </w:r>
    </w:p>
    <w:p>
      <w:pPr>
        <w:widowControl/>
        <w:ind w:firstLine="560"/>
      </w:pPr>
      <w:r>
        <w:rPr>
          <w:rFonts w:hint="eastAsia" w:ascii="仿宋" w:hAnsi="仿宋" w:cs="仿宋"/>
          <w:color w:val="000000"/>
          <w:kern w:val="0"/>
          <w:szCs w:val="28"/>
          <w:lang w:bidi="ar"/>
        </w:rPr>
        <w:t>正常情况下，仙阳湖有高达1</w:t>
      </w:r>
      <w:r>
        <w:rPr>
          <w:rFonts w:hint="eastAsia" w:eastAsia="宋体" w:cs="Times New Roman"/>
          <w:color w:val="000000"/>
          <w:kern w:val="0"/>
          <w:szCs w:val="28"/>
          <w:lang w:bidi="ar"/>
        </w:rPr>
        <w:t>5米</w:t>
      </w:r>
      <w:r>
        <w:rPr>
          <w:rFonts w:hint="eastAsia" w:ascii="仿宋" w:hAnsi="仿宋" w:cs="仿宋"/>
          <w:color w:val="000000"/>
          <w:kern w:val="0"/>
          <w:szCs w:val="28"/>
          <w:lang w:bidi="ar"/>
        </w:rPr>
        <w:t xml:space="preserve">的水位变幅带。对仙阳湖的湖滨消涨带进行保护和修复，一方面将对仙阳湖起到过滤缓冲作用，另一方面将完善仙阳湖的生态系统结构，打造良好的生物栖息环境，提高生物多样性，并营造出良好的湖滨生态景观。 </w:t>
      </w:r>
    </w:p>
    <w:p>
      <w:pPr>
        <w:widowControl/>
        <w:ind w:firstLine="560"/>
        <w:rPr>
          <w:rFonts w:ascii="仿宋" w:hAnsi="仿宋" w:cs="仿宋"/>
          <w:color w:val="000000"/>
          <w:kern w:val="0"/>
          <w:szCs w:val="28"/>
          <w:lang w:bidi="ar"/>
        </w:rPr>
      </w:pPr>
      <w:r>
        <w:rPr>
          <w:rFonts w:hint="eastAsia" w:ascii="仿宋" w:hAnsi="仿宋" w:cs="仿宋"/>
          <w:color w:val="000000"/>
          <w:kern w:val="0"/>
          <w:szCs w:val="28"/>
          <w:lang w:bidi="ar"/>
        </w:rPr>
        <w:t>仙阳湖湖滨消涨带的序列结构详见下图。</w:t>
      </w:r>
    </w:p>
    <w:p>
      <w:pPr>
        <w:widowControl/>
        <w:ind w:firstLine="0" w:firstLineChars="0"/>
        <w:jc w:val="center"/>
        <w:rPr>
          <w:rFonts w:ascii="仿宋" w:hAnsi="仿宋" w:cs="仿宋"/>
          <w:color w:val="000000"/>
          <w:kern w:val="0"/>
          <w:szCs w:val="28"/>
          <w:lang w:bidi="ar"/>
        </w:rPr>
      </w:pPr>
      <w:r>
        <w:rPr>
          <w:rFonts w:hint="eastAsia" w:ascii="宋体" w:hAnsi="宋体"/>
          <w:sz w:val="24"/>
        </w:rPr>
        <w:drawing>
          <wp:inline distT="0" distB="0" distL="114300" distR="114300">
            <wp:extent cx="4539615" cy="2522220"/>
            <wp:effectExtent l="0" t="0" r="6985" b="5080"/>
            <wp:docPr id="16" name="图片 1" descr="消涨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descr="消涨带"/>
                    <pic:cNvPicPr>
                      <a:picLocks noChangeAspect="1"/>
                    </pic:cNvPicPr>
                  </pic:nvPicPr>
                  <pic:blipFill>
                    <a:blip r:embed="rId39"/>
                    <a:stretch>
                      <a:fillRect/>
                    </a:stretch>
                  </pic:blipFill>
                  <pic:spPr>
                    <a:xfrm>
                      <a:off x="0" y="0"/>
                      <a:ext cx="4539615" cy="2522220"/>
                    </a:xfrm>
                    <a:prstGeom prst="rect">
                      <a:avLst/>
                    </a:prstGeom>
                    <a:noFill/>
                    <a:ln>
                      <a:noFill/>
                    </a:ln>
                  </pic:spPr>
                </pic:pic>
              </a:graphicData>
            </a:graphic>
          </wp:inline>
        </w:drawing>
      </w:r>
    </w:p>
    <w:p>
      <w:pPr>
        <w:widowControl/>
        <w:ind w:firstLine="0" w:firstLineChars="0"/>
        <w:jc w:val="center"/>
      </w:pPr>
      <w:r>
        <w:rPr>
          <w:rFonts w:hint="eastAsia" w:ascii="黑体" w:hAnsi="黑体" w:eastAsia="黑体" w:cs="黑体"/>
          <w:sz w:val="24"/>
        </w:rPr>
        <w:t>图</w:t>
      </w:r>
      <w:r>
        <w:rPr>
          <w:rFonts w:eastAsia="黑体" w:cs="Times New Roman"/>
          <w:sz w:val="24"/>
        </w:rPr>
        <w:t>6-</w:t>
      </w:r>
      <w:r>
        <w:rPr>
          <w:rFonts w:hint="eastAsia" w:eastAsia="黑体" w:cs="Times New Roman"/>
          <w:sz w:val="24"/>
        </w:rPr>
        <w:t>4</w:t>
      </w:r>
      <w:r>
        <w:rPr>
          <w:rFonts w:hint="eastAsia" w:ascii="黑体" w:hAnsi="黑体" w:eastAsia="黑体" w:cs="黑体"/>
          <w:sz w:val="24"/>
        </w:rPr>
        <w:t xml:space="preserve"> </w:t>
      </w:r>
      <w:r>
        <w:rPr>
          <w:rFonts w:hint="eastAsia" w:ascii="黑体" w:hAnsi="黑体" w:eastAsia="黑体" w:cs="黑体"/>
          <w:color w:val="000000"/>
          <w:kern w:val="0"/>
          <w:sz w:val="24"/>
          <w:lang w:bidi="ar"/>
        </w:rPr>
        <w:t>仙阳湖</w:t>
      </w:r>
      <w:r>
        <w:rPr>
          <w:rFonts w:ascii="黑体" w:hAnsi="黑体" w:eastAsia="黑体" w:cs="黑体"/>
          <w:color w:val="000000"/>
          <w:kern w:val="0"/>
          <w:sz w:val="24"/>
          <w:lang w:bidi="ar"/>
        </w:rPr>
        <w:t>湖滨消涨带序列结构示意图</w:t>
      </w:r>
    </w:p>
    <w:p>
      <w:pPr>
        <w:widowControl/>
        <w:ind w:firstLine="560"/>
        <w:rPr>
          <w:rFonts w:cs="Times New Roman"/>
          <w:szCs w:val="28"/>
        </w:rPr>
      </w:pPr>
      <w:r>
        <w:rPr>
          <w:rFonts w:hint="eastAsia" w:cs="Times New Roman"/>
          <w:color w:val="000000"/>
          <w:kern w:val="0"/>
          <w:szCs w:val="28"/>
          <w:lang w:bidi="ar"/>
        </w:rPr>
        <w:t>仙阳湖</w:t>
      </w:r>
      <w:r>
        <w:rPr>
          <w:rFonts w:cs="Times New Roman"/>
          <w:color w:val="000000"/>
          <w:kern w:val="0"/>
          <w:szCs w:val="28"/>
          <w:lang w:bidi="ar"/>
        </w:rPr>
        <w:t>湖滨消涨带保护和修复工程根据消涨带的局部微地貌、地形条</w:t>
      </w:r>
      <w:r>
        <w:rPr>
          <w:rFonts w:hint="eastAsia" w:cs="Times New Roman"/>
          <w:color w:val="000000"/>
          <w:kern w:val="0"/>
          <w:szCs w:val="28"/>
          <w:lang w:bidi="ar"/>
        </w:rPr>
        <w:t>件和水文、植被现状条件的不同，可以有以下几种模式。</w:t>
      </w:r>
      <w:r>
        <w:rPr>
          <w:rFonts w:cs="Times New Roman"/>
          <w:color w:val="000000"/>
          <w:kern w:val="0"/>
          <w:szCs w:val="28"/>
          <w:lang w:bidi="ar"/>
        </w:rPr>
        <w:t xml:space="preserve"> </w:t>
      </w:r>
    </w:p>
    <w:p>
      <w:pPr>
        <w:widowControl/>
        <w:ind w:firstLine="560"/>
        <w:rPr>
          <w:rFonts w:cs="Times New Roman"/>
          <w:szCs w:val="28"/>
        </w:rPr>
      </w:pPr>
      <w:r>
        <w:rPr>
          <w:rFonts w:hint="eastAsia" w:cs="Times New Roman"/>
          <w:color w:val="000000"/>
          <w:kern w:val="0"/>
          <w:szCs w:val="28"/>
          <w:lang w:bidi="ar"/>
        </w:rPr>
        <w:t>①</w:t>
      </w:r>
      <w:bookmarkStart w:id="329" w:name="_Hlk132725532"/>
      <w:r>
        <w:rPr>
          <w:rFonts w:hint="eastAsia" w:cs="Times New Roman"/>
          <w:color w:val="000000"/>
          <w:kern w:val="0"/>
          <w:szCs w:val="28"/>
          <w:lang w:bidi="ar"/>
        </w:rPr>
        <w:t>完全演替系列修复模式</w:t>
      </w:r>
      <w:bookmarkEnd w:id="329"/>
      <w:r>
        <w:rPr>
          <w:rFonts w:cs="Times New Roman"/>
          <w:color w:val="000000"/>
          <w:kern w:val="0"/>
          <w:szCs w:val="28"/>
          <w:lang w:bidi="ar"/>
        </w:rPr>
        <w:t xml:space="preserve"> </w:t>
      </w:r>
    </w:p>
    <w:p>
      <w:pPr>
        <w:widowControl/>
        <w:ind w:firstLine="560"/>
        <w:rPr>
          <w:rFonts w:cs="Times New Roman"/>
          <w:szCs w:val="28"/>
        </w:rPr>
      </w:pPr>
      <w:r>
        <w:rPr>
          <w:rFonts w:hint="eastAsia" w:cs="Times New Roman"/>
          <w:color w:val="000000"/>
          <w:kern w:val="0"/>
          <w:szCs w:val="28"/>
          <w:lang w:bidi="ar"/>
        </w:rPr>
        <w:t>完全演替系列主要包括绿化隔离带、乔草防护带、灌草防护带、挺水植物带和浮叶、沉水植物带</w:t>
      </w:r>
      <w:r>
        <w:rPr>
          <w:rFonts w:cs="Times New Roman"/>
          <w:color w:val="000000"/>
          <w:kern w:val="0"/>
          <w:szCs w:val="28"/>
          <w:lang w:bidi="ar"/>
        </w:rPr>
        <w:t>5</w:t>
      </w:r>
      <w:r>
        <w:rPr>
          <w:rFonts w:hint="eastAsia" w:cs="Times New Roman"/>
          <w:color w:val="000000"/>
          <w:kern w:val="0"/>
          <w:szCs w:val="28"/>
          <w:lang w:bidi="ar"/>
        </w:rPr>
        <w:t>个部分（图</w:t>
      </w:r>
      <w:r>
        <w:rPr>
          <w:rFonts w:cs="Times New Roman"/>
          <w:color w:val="000000"/>
          <w:kern w:val="0"/>
          <w:szCs w:val="28"/>
          <w:lang w:bidi="ar"/>
        </w:rPr>
        <w:t>6-</w:t>
      </w:r>
      <w:r>
        <w:rPr>
          <w:rFonts w:hint="eastAsia" w:cs="Times New Roman"/>
          <w:color w:val="000000"/>
          <w:kern w:val="0"/>
          <w:szCs w:val="28"/>
          <w:lang w:bidi="ar"/>
        </w:rPr>
        <w:t>5），其中灌草防护带和挺水植物带因地制宜或带状分布，或交错块状分布。</w:t>
      </w:r>
      <w:r>
        <w:rPr>
          <w:rFonts w:cs="Times New Roman"/>
          <w:color w:val="000000"/>
          <w:kern w:val="0"/>
          <w:szCs w:val="28"/>
          <w:lang w:bidi="ar"/>
        </w:rPr>
        <w:t xml:space="preserve"> </w:t>
      </w:r>
    </w:p>
    <w:p>
      <w:pPr>
        <w:widowControl/>
        <w:ind w:firstLine="560"/>
        <w:rPr>
          <w:rFonts w:cs="Times New Roman"/>
          <w:szCs w:val="28"/>
        </w:rPr>
      </w:pPr>
      <w:r>
        <w:rPr>
          <w:rFonts w:hint="eastAsia" w:cs="Times New Roman"/>
          <w:color w:val="000000"/>
          <w:kern w:val="0"/>
          <w:szCs w:val="28"/>
          <w:lang w:bidi="ar"/>
        </w:rPr>
        <w:t>绿化隔离带：为切实保护湖滨消涨带，美化景观，规划补建绿化隔离带，树种选择主要考虑植物的隔离功能和观赏性，可以选择香樟、山乌桕、杜英、檫木等乡土阔叶树。</w:t>
      </w:r>
      <w:r>
        <w:rPr>
          <w:rFonts w:cs="Times New Roman"/>
          <w:color w:val="000000"/>
          <w:kern w:val="0"/>
          <w:szCs w:val="28"/>
          <w:lang w:bidi="ar"/>
        </w:rPr>
        <w:t xml:space="preserve"> </w:t>
      </w:r>
    </w:p>
    <w:p>
      <w:pPr>
        <w:widowControl/>
        <w:ind w:firstLine="560"/>
        <w:rPr>
          <w:rFonts w:cs="Times New Roman"/>
          <w:szCs w:val="28"/>
        </w:rPr>
      </w:pPr>
      <w:r>
        <w:rPr>
          <w:rFonts w:hint="eastAsia" w:cs="Times New Roman"/>
          <w:color w:val="000000"/>
          <w:kern w:val="0"/>
          <w:szCs w:val="28"/>
          <w:lang w:bidi="ar"/>
        </w:rPr>
        <w:t>乔草防护带：综合木本植物和草本植物的优点，规划选择合适的植物配比，建立乔草结合的植物隔离防护带。营造方式为对现有植被进行补植和块状或带状改造。选择耐水淹的速生树种进行带状改造，各树种呈不规则的块状混交，配置树种有落羽杉、水杉、池杉、柳树、枫杨，间种黄花鸢尾、花叶鱼腥草或其它本地开花草本植物。</w:t>
      </w:r>
      <w:r>
        <w:rPr>
          <w:rFonts w:cs="Times New Roman"/>
          <w:color w:val="000000"/>
          <w:kern w:val="0"/>
          <w:szCs w:val="28"/>
          <w:lang w:bidi="ar"/>
        </w:rPr>
        <w:t xml:space="preserve"> </w:t>
      </w:r>
    </w:p>
    <w:p>
      <w:pPr>
        <w:widowControl/>
        <w:ind w:firstLine="560"/>
        <w:jc w:val="left"/>
        <w:rPr>
          <w:rFonts w:cs="Times New Roman"/>
          <w:szCs w:val="28"/>
        </w:rPr>
      </w:pPr>
      <w:r>
        <w:rPr>
          <w:rFonts w:hint="eastAsia" w:cs="Times New Roman"/>
          <w:color w:val="000000"/>
          <w:kern w:val="0"/>
          <w:szCs w:val="28"/>
          <w:lang w:bidi="ar"/>
        </w:rPr>
        <w:t>初植密度为</w:t>
      </w:r>
      <w:r>
        <w:rPr>
          <w:rFonts w:cs="Times New Roman"/>
          <w:color w:val="000000"/>
          <w:kern w:val="0"/>
          <w:szCs w:val="28"/>
          <w:lang w:bidi="ar"/>
        </w:rPr>
        <w:t>111</w:t>
      </w:r>
      <w:r>
        <w:rPr>
          <w:rFonts w:hint="eastAsia" w:cs="Times New Roman"/>
          <w:color w:val="000000"/>
          <w:kern w:val="0"/>
          <w:szCs w:val="28"/>
          <w:lang w:bidi="ar"/>
        </w:rPr>
        <w:t>株/亩，即行距</w:t>
      </w:r>
      <w:r>
        <w:rPr>
          <w:rFonts w:cs="Times New Roman"/>
          <w:color w:val="000000"/>
          <w:kern w:val="0"/>
          <w:szCs w:val="28"/>
          <w:lang w:bidi="ar"/>
        </w:rPr>
        <w:t>4.0</w:t>
      </w:r>
      <w:r>
        <w:rPr>
          <w:rFonts w:hint="eastAsia" w:cs="Times New Roman"/>
          <w:color w:val="000000"/>
          <w:kern w:val="0"/>
          <w:szCs w:val="28"/>
          <w:lang w:bidi="ar"/>
        </w:rPr>
        <w:t>米，株距</w:t>
      </w:r>
      <w:r>
        <w:rPr>
          <w:rFonts w:cs="Times New Roman"/>
          <w:color w:val="000000"/>
          <w:kern w:val="0"/>
          <w:szCs w:val="28"/>
          <w:lang w:bidi="ar"/>
        </w:rPr>
        <w:t>1.5</w:t>
      </w:r>
      <w:r>
        <w:rPr>
          <w:rFonts w:hint="eastAsia" w:cs="Times New Roman"/>
          <w:color w:val="000000"/>
          <w:kern w:val="0"/>
          <w:szCs w:val="28"/>
          <w:lang w:bidi="ar"/>
        </w:rPr>
        <w:t>米。</w:t>
      </w:r>
      <w:r>
        <w:rPr>
          <w:rFonts w:cs="Times New Roman"/>
          <w:color w:val="000000"/>
          <w:kern w:val="0"/>
          <w:szCs w:val="28"/>
          <w:lang w:bidi="ar"/>
        </w:rPr>
        <w:t xml:space="preserve"> </w:t>
      </w:r>
    </w:p>
    <w:p>
      <w:pPr>
        <w:widowControl/>
        <w:ind w:firstLine="560"/>
        <w:rPr>
          <w:rFonts w:cs="Times New Roman"/>
          <w:szCs w:val="28"/>
        </w:rPr>
      </w:pPr>
      <w:r>
        <w:rPr>
          <w:rFonts w:hint="eastAsia" w:cs="Times New Roman"/>
          <w:color w:val="000000"/>
          <w:kern w:val="0"/>
          <w:szCs w:val="28"/>
          <w:lang w:bidi="ar"/>
        </w:rPr>
        <w:t>灌草防护带：规划恢复耐湿灌木或草本植物，由灌木和草被结合组成灌草防护带或直接配置草被带。灌木树种可选择红皮柳、筐柳、沼柳、紫穗槐等；草本植物有菖蒲、节节草、灯心草、旱伞草、水葱或其它本地开花草本植物。</w:t>
      </w:r>
      <w:r>
        <w:rPr>
          <w:rFonts w:cs="Times New Roman"/>
          <w:color w:val="000000"/>
          <w:kern w:val="0"/>
          <w:szCs w:val="28"/>
          <w:lang w:bidi="ar"/>
        </w:rPr>
        <w:t xml:space="preserve"> </w:t>
      </w:r>
    </w:p>
    <w:p>
      <w:pPr>
        <w:widowControl/>
        <w:ind w:firstLine="560"/>
        <w:rPr>
          <w:rFonts w:cs="Times New Roman"/>
          <w:color w:val="000000"/>
          <w:kern w:val="0"/>
          <w:szCs w:val="28"/>
          <w:lang w:bidi="ar"/>
        </w:rPr>
      </w:pPr>
      <w:r>
        <w:rPr>
          <w:rFonts w:hint="eastAsia" w:cs="Times New Roman"/>
          <w:color w:val="000000"/>
          <w:kern w:val="0"/>
          <w:szCs w:val="28"/>
          <w:lang w:bidi="ar"/>
        </w:rPr>
        <w:t>灌木初植可按</w:t>
      </w:r>
      <w:r>
        <w:rPr>
          <w:rFonts w:cs="Times New Roman"/>
          <w:color w:val="000000"/>
          <w:kern w:val="0"/>
          <w:szCs w:val="28"/>
          <w:lang w:bidi="ar"/>
        </w:rPr>
        <w:t>1.2米×1.2米</w:t>
      </w:r>
      <w:r>
        <w:rPr>
          <w:rFonts w:hint="eastAsia" w:cs="Times New Roman"/>
          <w:color w:val="000000"/>
          <w:kern w:val="0"/>
          <w:szCs w:val="28"/>
          <w:lang w:bidi="ar"/>
        </w:rPr>
        <w:t>进行栽植。配置方式为混种或块状混交。</w:t>
      </w:r>
    </w:p>
    <w:p>
      <w:pPr>
        <w:widowControl/>
        <w:ind w:firstLine="560"/>
        <w:rPr>
          <w:rFonts w:cs="Times New Roman"/>
          <w:szCs w:val="28"/>
        </w:rPr>
      </w:pPr>
      <w:r>
        <w:rPr>
          <w:rFonts w:hint="eastAsia" w:cs="Times New Roman"/>
          <w:color w:val="000000"/>
          <w:kern w:val="0"/>
          <w:szCs w:val="28"/>
          <w:lang w:bidi="ar"/>
        </w:rPr>
        <w:t>特殊地形处理：在草被带内，低洼地或湖汊中可以种植漂浮植物和挺水植物。漂浮植物可选择中华萍蓬草、满江红、菱、红菱等；挺水植物可选择观赏莲、香蒲、菖蒲、花叶芦竹、黄花蔺等。</w:t>
      </w:r>
      <w:r>
        <w:rPr>
          <w:rFonts w:cs="Times New Roman"/>
          <w:color w:val="000000"/>
          <w:kern w:val="0"/>
          <w:szCs w:val="28"/>
          <w:lang w:bidi="ar"/>
        </w:rPr>
        <w:t xml:space="preserve"> </w:t>
      </w:r>
    </w:p>
    <w:p>
      <w:pPr>
        <w:widowControl/>
        <w:ind w:firstLine="560"/>
        <w:rPr>
          <w:rFonts w:cs="Times New Roman"/>
          <w:szCs w:val="28"/>
        </w:rPr>
      </w:pPr>
      <w:r>
        <w:rPr>
          <w:rFonts w:hint="eastAsia" w:cs="Times New Roman"/>
          <w:color w:val="000000"/>
          <w:kern w:val="0"/>
          <w:szCs w:val="28"/>
          <w:lang w:bidi="ar"/>
        </w:rPr>
        <w:t>挺水植物带：挺水植物选用千屈菜、芦苇、茭草、香蒲、野慈菇、花叶芦竹、黄花蔺等，库汊还可小面积选种观赏莲。配置方式为千屈菜、芦苇、茭草、香蒲、野慈菇、花叶芦竹、黄花蔺分片种植。</w:t>
      </w:r>
      <w:r>
        <w:rPr>
          <w:rFonts w:cs="Times New Roman"/>
          <w:color w:val="000000"/>
          <w:kern w:val="0"/>
          <w:szCs w:val="28"/>
          <w:lang w:bidi="ar"/>
        </w:rPr>
        <w:t xml:space="preserve"> </w:t>
      </w:r>
    </w:p>
    <w:p>
      <w:pPr>
        <w:widowControl/>
        <w:ind w:firstLine="560"/>
        <w:rPr>
          <w:rFonts w:cs="Times New Roman"/>
          <w:szCs w:val="28"/>
        </w:rPr>
      </w:pPr>
      <w:r>
        <w:rPr>
          <w:rFonts w:hint="eastAsia" w:cs="Times New Roman"/>
          <w:color w:val="000000"/>
          <w:kern w:val="0"/>
          <w:szCs w:val="28"/>
          <w:lang w:bidi="ar"/>
        </w:rPr>
        <w:t>浮叶、沉水植物带：浮叶植物可选中华萍蓬草、菱角、睡莲、水鳖、</w:t>
      </w:r>
      <w:r>
        <w:rPr>
          <w:rFonts w:cs="Times New Roman"/>
          <w:color w:val="000000"/>
          <w:kern w:val="0"/>
          <w:szCs w:val="28"/>
          <w:lang w:bidi="ar"/>
        </w:rPr>
        <w:t xml:space="preserve"> 荇菜等，在条件较好的库湾、库汊处可选观赏睡莲、莼菜、芡实种植；沉水植物可选海菜花、水车前、金鱼藻、菹草、微齿眼子菜、竹叶眼子菜、苦草、狐尾藻等。 </w:t>
      </w:r>
    </w:p>
    <w:p>
      <w:pPr>
        <w:widowControl/>
        <w:ind w:firstLine="560"/>
        <w:rPr>
          <w:rFonts w:cs="Times New Roman"/>
          <w:szCs w:val="28"/>
        </w:rPr>
      </w:pPr>
      <w:r>
        <w:rPr>
          <w:rFonts w:hint="eastAsia" w:cs="Times New Roman"/>
          <w:color w:val="000000"/>
          <w:kern w:val="0"/>
          <w:szCs w:val="28"/>
          <w:lang w:bidi="ar"/>
        </w:rPr>
        <w:t>根据仙阳湖湖滨消涨带特点，规划开展完全演替系统修复消涨带长度55公里。</w:t>
      </w:r>
    </w:p>
    <w:p>
      <w:pPr>
        <w:pStyle w:val="47"/>
        <w:numPr>
          <w:ilvl w:val="255"/>
          <w:numId w:val="0"/>
        </w:numPr>
        <w:jc w:val="center"/>
        <w:rPr>
          <w:rFonts w:cs="Times New Roman"/>
        </w:rPr>
      </w:pPr>
      <w:r>
        <w:rPr>
          <w:rFonts w:hint="eastAsia" w:ascii="宋体" w:hAnsi="宋体"/>
          <w:sz w:val="24"/>
        </w:rPr>
        <w:drawing>
          <wp:inline distT="0" distB="0" distL="114300" distR="114300">
            <wp:extent cx="5264150" cy="2785110"/>
            <wp:effectExtent l="0" t="0" r="12700" b="15240"/>
            <wp:docPr id="6" name="图片 2" descr="完全演替模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完全演替模式1"/>
                    <pic:cNvPicPr>
                      <a:picLocks noChangeAspect="1"/>
                    </pic:cNvPicPr>
                  </pic:nvPicPr>
                  <pic:blipFill>
                    <a:blip r:embed="rId40"/>
                    <a:stretch>
                      <a:fillRect/>
                    </a:stretch>
                  </pic:blipFill>
                  <pic:spPr>
                    <a:xfrm>
                      <a:off x="0" y="0"/>
                      <a:ext cx="5264150" cy="2785110"/>
                    </a:xfrm>
                    <a:prstGeom prst="rect">
                      <a:avLst/>
                    </a:prstGeom>
                    <a:noFill/>
                    <a:ln>
                      <a:noFill/>
                    </a:ln>
                  </pic:spPr>
                </pic:pic>
              </a:graphicData>
            </a:graphic>
          </wp:inline>
        </w:drawing>
      </w:r>
    </w:p>
    <w:p>
      <w:pPr>
        <w:widowControl/>
        <w:ind w:firstLine="0" w:firstLineChars="0"/>
        <w:jc w:val="center"/>
        <w:rPr>
          <w:rFonts w:ascii="黑体" w:hAnsi="黑体" w:eastAsia="黑体" w:cs="黑体"/>
          <w:color w:val="000000"/>
          <w:kern w:val="0"/>
          <w:sz w:val="24"/>
          <w:lang w:bidi="ar"/>
        </w:rPr>
      </w:pPr>
      <w:r>
        <w:rPr>
          <w:rFonts w:hint="eastAsia" w:ascii="黑体" w:hAnsi="黑体" w:eastAsia="黑体" w:cs="黑体"/>
          <w:sz w:val="24"/>
        </w:rPr>
        <w:t>图</w:t>
      </w:r>
      <w:r>
        <w:rPr>
          <w:rFonts w:eastAsia="黑体" w:cs="Times New Roman"/>
          <w:sz w:val="24"/>
        </w:rPr>
        <w:t>6-</w:t>
      </w:r>
      <w:r>
        <w:rPr>
          <w:rFonts w:hint="eastAsia" w:eastAsia="黑体" w:cs="Times New Roman"/>
          <w:sz w:val="24"/>
        </w:rPr>
        <w:t>5</w:t>
      </w:r>
      <w:r>
        <w:rPr>
          <w:rFonts w:hint="eastAsia" w:ascii="黑体" w:hAnsi="黑体" w:eastAsia="黑体" w:cs="黑体"/>
          <w:sz w:val="24"/>
        </w:rPr>
        <w:t xml:space="preserve"> </w:t>
      </w:r>
      <w:r>
        <w:rPr>
          <w:rFonts w:hint="eastAsia" w:ascii="黑体" w:hAnsi="黑体" w:eastAsia="黑体" w:cs="黑体"/>
          <w:color w:val="000000"/>
          <w:kern w:val="0"/>
          <w:sz w:val="24"/>
          <w:lang w:bidi="ar"/>
        </w:rPr>
        <w:t>仙阳湖湖滨消涨带</w:t>
      </w:r>
      <w:r>
        <w:rPr>
          <w:rFonts w:ascii="黑体" w:hAnsi="黑体" w:eastAsia="黑体" w:cs="黑体"/>
          <w:color w:val="000000"/>
          <w:kern w:val="0"/>
          <w:sz w:val="24"/>
          <w:lang w:bidi="ar"/>
        </w:rPr>
        <w:t>完全演替系列修复模式示意图</w:t>
      </w:r>
    </w:p>
    <w:p>
      <w:pPr>
        <w:widowControl/>
        <w:ind w:firstLine="560"/>
        <w:jc w:val="left"/>
      </w:pPr>
      <w:r>
        <w:rPr>
          <w:rFonts w:ascii="仿宋" w:hAnsi="仿宋" w:cs="仿宋"/>
          <w:color w:val="000000"/>
          <w:kern w:val="0"/>
          <w:szCs w:val="28"/>
          <w:lang w:bidi="ar"/>
        </w:rPr>
        <w:t>②</w:t>
      </w:r>
      <w:r>
        <w:rPr>
          <w:rFonts w:hint="eastAsia" w:ascii="仿宋" w:hAnsi="仿宋" w:cs="仿宋"/>
          <w:color w:val="000000"/>
          <w:kern w:val="0"/>
          <w:szCs w:val="28"/>
          <w:lang w:bidi="ar"/>
        </w:rPr>
        <w:t xml:space="preserve"> </w:t>
      </w:r>
      <w:r>
        <w:rPr>
          <w:rFonts w:ascii="仿宋" w:hAnsi="仿宋" w:cs="仿宋"/>
          <w:color w:val="000000"/>
          <w:kern w:val="0"/>
          <w:szCs w:val="28"/>
          <w:lang w:bidi="ar"/>
        </w:rPr>
        <w:t>不完全演替系列修复模式</w:t>
      </w:r>
    </w:p>
    <w:p>
      <w:pPr>
        <w:widowControl/>
        <w:ind w:firstLine="560"/>
      </w:pPr>
      <w:r>
        <w:rPr>
          <w:rFonts w:hint="eastAsia" w:ascii="仿宋" w:hAnsi="仿宋" w:cs="仿宋"/>
          <w:color w:val="000000"/>
          <w:kern w:val="0"/>
          <w:szCs w:val="28"/>
          <w:lang w:bidi="ar"/>
        </w:rPr>
        <w:t>不完全演替系列修复模式是由于地形、底质和水文条件的限制，不能或难以恢复完全演替系列的消涨带。根据仙阳湖湖滨消涨带的实际情况，其不完全演替系列修复模式主要包括以下几种。</w:t>
      </w:r>
    </w:p>
    <w:p>
      <w:pPr>
        <w:widowControl/>
        <w:ind w:firstLine="562"/>
      </w:pPr>
      <w:r>
        <w:rPr>
          <w:rFonts w:hint="eastAsia" w:ascii="仿宋" w:hAnsi="仿宋" w:cs="仿宋"/>
          <w:b/>
          <w:bCs/>
          <w:color w:val="000000"/>
          <w:kern w:val="0"/>
          <w:szCs w:val="28"/>
          <w:lang w:bidi="ar"/>
        </w:rPr>
        <w:t>乔（灌）草防护带：</w:t>
      </w:r>
      <w:r>
        <w:rPr>
          <w:rFonts w:hint="eastAsia" w:ascii="仿宋" w:hAnsi="仿宋" w:cs="仿宋"/>
          <w:color w:val="000000"/>
          <w:kern w:val="0"/>
          <w:szCs w:val="28"/>
          <w:lang w:bidi="ar"/>
        </w:rPr>
        <w:t>这种模式适用于坡度大于</w:t>
      </w:r>
      <w:r>
        <w:rPr>
          <w:rFonts w:eastAsia="宋体" w:cs="Times New Roman"/>
          <w:color w:val="000000"/>
          <w:kern w:val="0"/>
          <w:szCs w:val="28"/>
          <w:lang w:bidi="ar"/>
        </w:rPr>
        <w:t>30</w:t>
      </w:r>
      <w:r>
        <w:rPr>
          <w:rFonts w:hint="eastAsia" w:ascii="仿宋" w:hAnsi="仿宋" w:cs="仿宋"/>
          <w:color w:val="000000"/>
          <w:kern w:val="0"/>
          <w:szCs w:val="28"/>
          <w:lang w:bidi="ar"/>
        </w:rPr>
        <w:t xml:space="preserve">°的消涨带，这种消涨带挺水植物和沉水植物一般不易生长或生长空间有限。这种模式又因消涨带底质不同而有侧重的选择乔草或灌草模式。如果消涨带底质土壤层薄、岩石多，则以灌草防护带模式为主，如果消涨带底质土壤层较厚、岩石少，则以乔草防护带模式为主。 </w:t>
      </w:r>
    </w:p>
    <w:p>
      <w:pPr>
        <w:widowControl/>
        <w:ind w:firstLine="560"/>
      </w:pPr>
      <w:r>
        <w:rPr>
          <w:rFonts w:hint="eastAsia" w:ascii="仿宋" w:hAnsi="仿宋" w:cs="仿宋"/>
          <w:color w:val="000000"/>
          <w:kern w:val="0"/>
          <w:szCs w:val="28"/>
          <w:lang w:bidi="ar"/>
        </w:rPr>
        <w:t>草本、灌木和乔木树种的选择参照完全演替系列。</w:t>
      </w:r>
    </w:p>
    <w:p>
      <w:pPr>
        <w:widowControl/>
        <w:ind w:firstLine="560"/>
        <w:jc w:val="left"/>
      </w:pPr>
      <w:r>
        <w:rPr>
          <w:rFonts w:hint="eastAsia" w:ascii="仿宋" w:hAnsi="仿宋" w:cs="仿宋"/>
          <w:color w:val="000000"/>
          <w:kern w:val="0"/>
          <w:szCs w:val="28"/>
          <w:lang w:bidi="ar"/>
        </w:rPr>
        <w:t>规划乔（灌）草防护带总长</w:t>
      </w:r>
      <w:r>
        <w:rPr>
          <w:rFonts w:hint="eastAsia" w:cs="Times New Roman"/>
          <w:color w:val="000000"/>
          <w:kern w:val="0"/>
          <w:szCs w:val="28"/>
          <w:lang w:bidi="ar"/>
        </w:rPr>
        <w:t>20公里</w:t>
      </w:r>
      <w:r>
        <w:rPr>
          <w:rFonts w:hint="eastAsia" w:ascii="仿宋" w:hAnsi="仿宋" w:cs="仿宋"/>
          <w:color w:val="000000"/>
          <w:kern w:val="0"/>
          <w:szCs w:val="28"/>
          <w:lang w:bidi="ar"/>
        </w:rPr>
        <w:t xml:space="preserve">。 </w:t>
      </w:r>
    </w:p>
    <w:p>
      <w:pPr>
        <w:ind w:firstLine="562"/>
      </w:pPr>
      <w:r>
        <w:rPr>
          <w:rFonts w:hint="eastAsia"/>
          <w:b/>
          <w:bCs/>
          <w:lang w:bidi="ar"/>
        </w:rPr>
        <w:t>乔草防护带＋浮叶、沉水植物带：</w:t>
      </w:r>
      <w:r>
        <w:rPr>
          <w:rFonts w:hint="eastAsia"/>
          <w:lang w:bidi="ar"/>
        </w:rPr>
        <w:t>这种模式适用于坡度小于</w:t>
      </w:r>
      <w:r>
        <w:rPr>
          <w:rFonts w:eastAsia="宋体" w:cs="Times New Roman"/>
          <w:lang w:bidi="ar"/>
        </w:rPr>
        <w:t>30</w:t>
      </w:r>
      <w:r>
        <w:rPr>
          <w:rFonts w:hint="eastAsia"/>
          <w:lang w:bidi="ar"/>
        </w:rPr>
        <w:t xml:space="preserve">°、底质土壤层较厚、岩石少的消涨带，这种消涨带挺水植物一般不易生长或生长空间有限。草本、乔木、浮叶和沉水植物的选择参照完全演替系列。 </w:t>
      </w:r>
    </w:p>
    <w:p>
      <w:pPr>
        <w:widowControl/>
        <w:ind w:firstLine="560"/>
      </w:pPr>
      <w:r>
        <w:rPr>
          <w:rFonts w:hint="eastAsia" w:ascii="仿宋" w:hAnsi="仿宋" w:cs="仿宋"/>
          <w:color w:val="000000"/>
          <w:kern w:val="0"/>
          <w:szCs w:val="28"/>
          <w:lang w:bidi="ar"/>
        </w:rPr>
        <w:t>规划乔草防护带＋浮叶、沉水植物带总长</w:t>
      </w:r>
      <w:r>
        <w:rPr>
          <w:rFonts w:cs="Times New Roman"/>
          <w:color w:val="000000"/>
          <w:kern w:val="0"/>
          <w:szCs w:val="28"/>
          <w:lang w:bidi="ar"/>
        </w:rPr>
        <w:t>26</w:t>
      </w:r>
      <w:r>
        <w:rPr>
          <w:rFonts w:hint="eastAsia" w:cs="Times New Roman"/>
          <w:color w:val="000000"/>
          <w:kern w:val="0"/>
          <w:szCs w:val="28"/>
          <w:lang w:bidi="ar"/>
        </w:rPr>
        <w:t>公里</w:t>
      </w:r>
      <w:r>
        <w:rPr>
          <w:rFonts w:hint="eastAsia" w:ascii="仿宋" w:hAnsi="仿宋" w:cs="仿宋"/>
          <w:color w:val="000000"/>
          <w:kern w:val="0"/>
          <w:szCs w:val="28"/>
          <w:lang w:bidi="ar"/>
        </w:rPr>
        <w:t xml:space="preserve">。 </w:t>
      </w:r>
    </w:p>
    <w:p>
      <w:pPr>
        <w:ind w:firstLine="562"/>
      </w:pPr>
      <w:r>
        <w:rPr>
          <w:rFonts w:hint="eastAsia" w:ascii="仿宋" w:hAnsi="仿宋" w:cs="仿宋"/>
          <w:b/>
          <w:bCs/>
          <w:color w:val="000000"/>
          <w:kern w:val="0"/>
          <w:szCs w:val="28"/>
          <w:lang w:bidi="ar"/>
        </w:rPr>
        <w:t>灌草防护带＋浮叶、沉水植物带：</w:t>
      </w:r>
      <w:r>
        <w:rPr>
          <w:rFonts w:hint="eastAsia"/>
        </w:rPr>
        <w:t>这种模式适用于坡度大于</w:t>
      </w:r>
      <w:r>
        <w:t>30</w:t>
      </w:r>
      <w:r>
        <w:rPr>
          <w:rFonts w:hint="eastAsia"/>
        </w:rPr>
        <w:t>°、底质土壤层薄、岩石多的消涨带，这种消涨带挺水植物一般不易生长或生长空间有限。草本、乔木、浮叶和沉水植物的选择参照完全演替系列。</w:t>
      </w:r>
    </w:p>
    <w:p>
      <w:pPr>
        <w:widowControl/>
        <w:ind w:firstLine="560"/>
      </w:pPr>
      <w:r>
        <w:rPr>
          <w:rFonts w:hint="eastAsia" w:ascii="仿宋" w:hAnsi="仿宋" w:cs="仿宋"/>
          <w:color w:val="000000"/>
          <w:kern w:val="0"/>
          <w:szCs w:val="28"/>
          <w:lang w:bidi="ar"/>
        </w:rPr>
        <w:t>规划灌草防护带＋浮叶、沉水植物带总长</w:t>
      </w:r>
      <w:r>
        <w:rPr>
          <w:rFonts w:cs="Times New Roman"/>
          <w:color w:val="000000"/>
          <w:kern w:val="0"/>
          <w:szCs w:val="28"/>
          <w:lang w:bidi="ar"/>
        </w:rPr>
        <w:t>2</w:t>
      </w:r>
      <w:r>
        <w:rPr>
          <w:rFonts w:eastAsia="宋体" w:cs="Times New Roman"/>
          <w:color w:val="000000"/>
          <w:kern w:val="0"/>
          <w:szCs w:val="28"/>
          <w:lang w:bidi="ar"/>
        </w:rPr>
        <w:t>4</w:t>
      </w:r>
      <w:r>
        <w:rPr>
          <w:rFonts w:hint="eastAsia" w:cs="Times New Roman"/>
          <w:color w:val="000000"/>
          <w:kern w:val="0"/>
          <w:szCs w:val="28"/>
          <w:lang w:bidi="ar"/>
        </w:rPr>
        <w:t>公里</w:t>
      </w:r>
      <w:r>
        <w:rPr>
          <w:rFonts w:hint="eastAsia" w:ascii="仿宋" w:hAnsi="仿宋" w:cs="仿宋"/>
          <w:color w:val="000000"/>
          <w:kern w:val="0"/>
          <w:szCs w:val="28"/>
          <w:lang w:bidi="ar"/>
        </w:rPr>
        <w:t>。</w:t>
      </w:r>
    </w:p>
    <w:p>
      <w:pPr>
        <w:widowControl/>
        <w:ind w:firstLine="562"/>
        <w:rPr>
          <w:rFonts w:cs="Times New Roman"/>
          <w:szCs w:val="28"/>
        </w:rPr>
      </w:pPr>
      <w:r>
        <w:rPr>
          <w:rFonts w:cs="Times New Roman"/>
          <w:b/>
          <w:bCs/>
          <w:color w:val="000000"/>
          <w:kern w:val="0"/>
          <w:szCs w:val="28"/>
          <w:lang w:bidi="ar"/>
        </w:rPr>
        <w:t>（2</w:t>
      </w:r>
      <w:r>
        <w:rPr>
          <w:rFonts w:hint="eastAsia" w:cs="Times New Roman"/>
          <w:b/>
          <w:bCs/>
          <w:color w:val="000000"/>
          <w:kern w:val="0"/>
          <w:szCs w:val="28"/>
          <w:lang w:bidi="ar"/>
        </w:rPr>
        <w:t>）受损水岸修复工程</w:t>
      </w:r>
      <w:r>
        <w:rPr>
          <w:rFonts w:cs="Times New Roman"/>
          <w:b/>
          <w:bCs/>
          <w:color w:val="000000"/>
          <w:kern w:val="0"/>
          <w:szCs w:val="28"/>
          <w:lang w:bidi="ar"/>
        </w:rPr>
        <w:t xml:space="preserve"> </w:t>
      </w:r>
    </w:p>
    <w:p>
      <w:pPr>
        <w:widowControl/>
        <w:ind w:firstLine="560"/>
        <w:rPr>
          <w:rFonts w:cs="Times New Roman"/>
          <w:szCs w:val="28"/>
        </w:rPr>
      </w:pPr>
      <w:r>
        <w:rPr>
          <w:rFonts w:hint="eastAsia" w:cs="Times New Roman"/>
          <w:color w:val="000000"/>
          <w:kern w:val="0"/>
          <w:szCs w:val="28"/>
          <w:lang w:bidi="ar"/>
        </w:rPr>
        <w:t>河岸的植被有助于调控沉积物及化学元素向湿地公园的转移，并能减少周围农田生态系统的养分流失。本项目选择对已经破坏或缺失的水岸进行恢复和修复，因地制宜地进行水岸生态系统的重建、恢复和修复，开展水岸的“三化”（美化、绿化、生态化）建设。选择适合于鸟类栖息的植物进行水岸建设，在进行水岸建设的同时营造良好的生物栖息地。水岸的建设以生态工程措施为主，在特殊地段可采取工程措施与生物措施相结合的模式进行建设，对于人难以到达区域尽量保持其自然状态。在工程建设中应当尽量采用生态材料。受损河岸修复工程建设应该以乡土植被为主，严格限制外来物种的引入。</w:t>
      </w:r>
      <w:r>
        <w:rPr>
          <w:rFonts w:cs="Times New Roman"/>
          <w:color w:val="000000"/>
          <w:kern w:val="0"/>
          <w:szCs w:val="28"/>
          <w:lang w:bidi="ar"/>
        </w:rPr>
        <w:t xml:space="preserve"> </w:t>
      </w:r>
    </w:p>
    <w:p>
      <w:pPr>
        <w:widowControl/>
        <w:ind w:firstLine="560"/>
        <w:rPr>
          <w:rFonts w:cs="Times New Roman"/>
          <w:szCs w:val="28"/>
        </w:rPr>
      </w:pPr>
      <w:r>
        <w:rPr>
          <w:rFonts w:hint="eastAsia" w:cs="Times New Roman"/>
          <w:color w:val="000000"/>
          <w:kern w:val="0"/>
          <w:szCs w:val="28"/>
          <w:lang w:bidi="ar"/>
        </w:rPr>
        <w:t>主要包括以下两种修复模式：</w:t>
      </w:r>
      <w:r>
        <w:rPr>
          <w:rFonts w:cs="Times New Roman"/>
          <w:color w:val="000000"/>
          <w:kern w:val="0"/>
          <w:szCs w:val="28"/>
          <w:lang w:bidi="ar"/>
        </w:rPr>
        <w:t xml:space="preserve"> </w:t>
      </w:r>
    </w:p>
    <w:p>
      <w:pPr>
        <w:widowControl/>
        <w:ind w:firstLine="560"/>
        <w:jc w:val="left"/>
        <w:rPr>
          <w:rFonts w:cs="Times New Roman"/>
          <w:szCs w:val="28"/>
        </w:rPr>
      </w:pPr>
      <w:r>
        <w:rPr>
          <w:rFonts w:hint="eastAsia" w:cs="Times New Roman"/>
          <w:color w:val="000000"/>
          <w:kern w:val="0"/>
          <w:szCs w:val="28"/>
          <w:lang w:bidi="ar"/>
        </w:rPr>
        <w:t>①自然演替修复模式</w:t>
      </w:r>
      <w:r>
        <w:rPr>
          <w:rFonts w:cs="Times New Roman"/>
          <w:color w:val="000000"/>
          <w:kern w:val="0"/>
          <w:szCs w:val="28"/>
          <w:lang w:bidi="ar"/>
        </w:rPr>
        <w:t xml:space="preserve"> </w:t>
      </w:r>
    </w:p>
    <w:p>
      <w:pPr>
        <w:widowControl/>
        <w:ind w:firstLine="560"/>
        <w:rPr>
          <w:rFonts w:cs="Times New Roman"/>
          <w:szCs w:val="28"/>
        </w:rPr>
      </w:pPr>
      <w:r>
        <w:rPr>
          <w:rFonts w:hint="eastAsia" w:cs="Times New Roman"/>
          <w:color w:val="000000"/>
          <w:kern w:val="0"/>
          <w:szCs w:val="28"/>
          <w:lang w:bidi="ar"/>
        </w:rPr>
        <w:t>自然演替系列主要包括绿化隔离带、乔草防护带、灌草防护带、挺水植物带和浮叶、沉水植物带</w:t>
      </w:r>
      <w:r>
        <w:rPr>
          <w:rFonts w:cs="Times New Roman"/>
          <w:color w:val="000000"/>
          <w:kern w:val="0"/>
          <w:szCs w:val="28"/>
          <w:lang w:bidi="ar"/>
        </w:rPr>
        <w:t>5</w:t>
      </w:r>
      <w:r>
        <w:rPr>
          <w:rFonts w:hint="eastAsia" w:cs="Times New Roman"/>
          <w:color w:val="000000"/>
          <w:kern w:val="0"/>
          <w:szCs w:val="28"/>
          <w:lang w:bidi="ar"/>
        </w:rPr>
        <w:t>个部分（详见图</w:t>
      </w:r>
      <w:r>
        <w:rPr>
          <w:rFonts w:cs="Times New Roman"/>
          <w:color w:val="000000"/>
          <w:kern w:val="0"/>
          <w:szCs w:val="28"/>
          <w:lang w:bidi="ar"/>
        </w:rPr>
        <w:t>6-</w:t>
      </w:r>
      <w:r>
        <w:rPr>
          <w:rFonts w:hint="eastAsia" w:cs="Times New Roman"/>
          <w:color w:val="000000"/>
          <w:kern w:val="0"/>
          <w:szCs w:val="28"/>
          <w:lang w:bidi="ar"/>
        </w:rPr>
        <w:t>6），其中灌草防护带和挺水植物带因地制宜或带状分布，或交错块状分布。主要针对保护河岸比较平坦的消涨带，也可以美化景观，规划</w:t>
      </w:r>
      <w:r>
        <w:rPr>
          <w:rFonts w:cs="Times New Roman"/>
          <w:color w:val="000000"/>
          <w:kern w:val="0"/>
          <w:szCs w:val="28"/>
          <w:lang w:bidi="ar"/>
        </w:rPr>
        <w:t>自然演替修复</w:t>
      </w:r>
      <w:r>
        <w:rPr>
          <w:rFonts w:hint="eastAsia" w:cs="Times New Roman"/>
          <w:color w:val="000000"/>
          <w:kern w:val="0"/>
          <w:szCs w:val="28"/>
          <w:lang w:bidi="ar"/>
        </w:rPr>
        <w:t>水岸长度60公里。</w:t>
      </w:r>
      <w:r>
        <w:rPr>
          <w:rFonts w:cs="Times New Roman"/>
          <w:color w:val="000000"/>
          <w:kern w:val="0"/>
          <w:szCs w:val="28"/>
          <w:lang w:bidi="ar"/>
        </w:rPr>
        <w:t xml:space="preserve"> </w:t>
      </w:r>
    </w:p>
    <w:p>
      <w:pPr>
        <w:ind w:firstLine="0" w:firstLineChars="0"/>
        <w:jc w:val="center"/>
        <w:rPr>
          <w:rFonts w:cs="Times New Roman"/>
          <w:szCs w:val="28"/>
        </w:rPr>
      </w:pPr>
      <w:r>
        <w:rPr>
          <w:rFonts w:hint="eastAsia" w:cs="Times New Roman"/>
          <w:szCs w:val="28"/>
        </w:rPr>
        <w:drawing>
          <wp:inline distT="0" distB="0" distL="114300" distR="114300">
            <wp:extent cx="5358130" cy="1682750"/>
            <wp:effectExtent l="0" t="0" r="0" b="0"/>
            <wp:docPr id="19" name="图片 19"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1"/>
                    <pic:cNvPicPr>
                      <a:picLocks noChangeAspect="1"/>
                    </pic:cNvPicPr>
                  </pic:nvPicPr>
                  <pic:blipFill>
                    <a:blip r:embed="rId41"/>
                    <a:stretch>
                      <a:fillRect/>
                    </a:stretch>
                  </pic:blipFill>
                  <pic:spPr>
                    <a:xfrm>
                      <a:off x="0" y="0"/>
                      <a:ext cx="5358130" cy="1682750"/>
                    </a:xfrm>
                    <a:prstGeom prst="rect">
                      <a:avLst/>
                    </a:prstGeom>
                  </pic:spPr>
                </pic:pic>
              </a:graphicData>
            </a:graphic>
          </wp:inline>
        </w:drawing>
      </w:r>
    </w:p>
    <w:p>
      <w:pPr>
        <w:widowControl/>
        <w:ind w:firstLine="0" w:firstLineChars="0"/>
        <w:jc w:val="center"/>
        <w:rPr>
          <w:rFonts w:ascii="黑体" w:hAnsi="黑体" w:eastAsia="黑体" w:cs="黑体"/>
          <w:sz w:val="24"/>
        </w:rPr>
      </w:pPr>
      <w:r>
        <w:rPr>
          <w:rFonts w:hint="eastAsia" w:ascii="黑体" w:hAnsi="黑体" w:eastAsia="黑体" w:cs="黑体"/>
          <w:color w:val="000000"/>
          <w:kern w:val="0"/>
          <w:sz w:val="24"/>
          <w:lang w:bidi="ar"/>
        </w:rPr>
        <w:t>图</w:t>
      </w:r>
      <w:r>
        <w:rPr>
          <w:rFonts w:eastAsia="黑体" w:cs="Times New Roman"/>
          <w:color w:val="000000"/>
          <w:kern w:val="0"/>
          <w:sz w:val="24"/>
          <w:lang w:bidi="ar"/>
        </w:rPr>
        <w:t>6-</w:t>
      </w:r>
      <w:r>
        <w:rPr>
          <w:rFonts w:hint="eastAsia" w:eastAsia="黑体" w:cs="Times New Roman"/>
          <w:color w:val="000000"/>
          <w:kern w:val="0"/>
          <w:sz w:val="24"/>
          <w:lang w:bidi="ar"/>
        </w:rPr>
        <w:t>6</w:t>
      </w:r>
      <w:r>
        <w:rPr>
          <w:rFonts w:ascii="黑体" w:hAnsi="黑体" w:eastAsia="黑体" w:cs="黑体"/>
          <w:color w:val="000000"/>
          <w:kern w:val="0"/>
          <w:sz w:val="24"/>
          <w:lang w:bidi="ar"/>
        </w:rPr>
        <w:t xml:space="preserve"> </w:t>
      </w:r>
      <w:r>
        <w:rPr>
          <w:rFonts w:hint="eastAsia" w:ascii="黑体" w:hAnsi="黑体" w:eastAsia="黑体" w:cs="黑体"/>
          <w:color w:val="000000"/>
          <w:kern w:val="0"/>
          <w:sz w:val="24"/>
          <w:lang w:bidi="ar"/>
        </w:rPr>
        <w:t>自然演替修复模式建设意向图</w:t>
      </w:r>
    </w:p>
    <w:p>
      <w:pPr>
        <w:widowControl/>
        <w:ind w:firstLine="560"/>
        <w:jc w:val="left"/>
      </w:pPr>
      <w:r>
        <w:rPr>
          <w:rFonts w:ascii="仿宋" w:hAnsi="仿宋" w:cs="仿宋"/>
          <w:color w:val="000000"/>
          <w:kern w:val="0"/>
          <w:szCs w:val="28"/>
          <w:lang w:bidi="ar"/>
        </w:rPr>
        <w:t xml:space="preserve">②混合修复模式 </w:t>
      </w:r>
    </w:p>
    <w:p>
      <w:pPr>
        <w:widowControl/>
        <w:ind w:firstLine="560"/>
        <w:rPr>
          <w:rFonts w:ascii="仿宋" w:hAnsi="仿宋" w:cs="仿宋"/>
          <w:color w:val="000000"/>
          <w:kern w:val="0"/>
          <w:szCs w:val="28"/>
          <w:lang w:bidi="ar"/>
        </w:rPr>
      </w:pPr>
      <w:r>
        <w:rPr>
          <w:rFonts w:hint="eastAsia" w:ascii="仿宋" w:hAnsi="仿宋" w:cs="仿宋"/>
          <w:color w:val="000000"/>
          <w:kern w:val="0"/>
          <w:szCs w:val="28"/>
          <w:lang w:bidi="ar"/>
        </w:rPr>
        <w:t xml:space="preserve">在较陡的坡岸或冲蚀严重的流水处，在自然原型河岸的基础上，采取一定的生态型人工措施以增强防洪能力。采用天然石材、木材护底，通过人工处理，增强堤岸的抗洪能力（详见图 </w:t>
      </w:r>
      <w:r>
        <w:rPr>
          <w:rFonts w:eastAsia="宋体" w:cs="Times New Roman"/>
          <w:color w:val="000000"/>
          <w:kern w:val="0"/>
          <w:szCs w:val="28"/>
          <w:lang w:bidi="ar"/>
        </w:rPr>
        <w:t>6-</w:t>
      </w:r>
      <w:r>
        <w:rPr>
          <w:rFonts w:hint="eastAsia" w:eastAsia="宋体" w:cs="Times New Roman"/>
          <w:color w:val="000000"/>
          <w:kern w:val="0"/>
          <w:szCs w:val="28"/>
          <w:lang w:bidi="ar"/>
        </w:rPr>
        <w:t>7</w:t>
      </w:r>
      <w:r>
        <w:rPr>
          <w:rFonts w:hint="eastAsia" w:ascii="仿宋" w:hAnsi="仿宋" w:cs="仿宋"/>
          <w:color w:val="000000"/>
          <w:kern w:val="0"/>
          <w:szCs w:val="28"/>
          <w:lang w:bidi="ar"/>
        </w:rPr>
        <w:t>）。如早期坡脚可用石笼、木桩或浆砌石等护底，其上筑有一定坡度的土堤，在斜坡上种植植被，实行乔灌草结合，实现固土绿化的目的。</w:t>
      </w:r>
    </w:p>
    <w:p>
      <w:pPr>
        <w:widowControl/>
        <w:ind w:firstLine="560"/>
      </w:pPr>
      <w:r>
        <w:rPr>
          <w:rFonts w:cs="Times New Roman"/>
        </w:rPr>
        <w:t>规划</w:t>
      </w:r>
      <w:r>
        <w:rPr>
          <w:rFonts w:ascii="仿宋" w:hAnsi="仿宋" w:cs="仿宋"/>
          <w:color w:val="000000"/>
          <w:kern w:val="0"/>
          <w:szCs w:val="28"/>
          <w:lang w:bidi="ar"/>
        </w:rPr>
        <w:t>混合修复</w:t>
      </w:r>
      <w:r>
        <w:rPr>
          <w:rFonts w:cs="Times New Roman"/>
        </w:rPr>
        <w:t>在</w:t>
      </w:r>
      <w:r>
        <w:rPr>
          <w:rFonts w:hint="eastAsia" w:cs="Times New Roman"/>
        </w:rPr>
        <w:t>峡峪河</w:t>
      </w:r>
      <w:r>
        <w:rPr>
          <w:rFonts w:cs="Times New Roman"/>
        </w:rPr>
        <w:t>、仙阳湖周边</w:t>
      </w:r>
      <w:r>
        <w:rPr>
          <w:rFonts w:hint="eastAsia" w:cs="Times New Roman"/>
        </w:rPr>
        <w:t>，</w:t>
      </w:r>
      <w:r>
        <w:rPr>
          <w:rFonts w:cs="Times New Roman"/>
        </w:rPr>
        <w:t>建设</w:t>
      </w:r>
      <w:r>
        <w:rPr>
          <w:rFonts w:hint="eastAsia" w:ascii="仿宋" w:hAnsi="仿宋" w:cs="仿宋"/>
          <w:color w:val="000000"/>
          <w:kern w:val="0"/>
          <w:szCs w:val="28"/>
          <w:lang w:bidi="ar"/>
        </w:rPr>
        <w:t>长度为</w:t>
      </w:r>
      <w:r>
        <w:rPr>
          <w:rFonts w:hint="eastAsia" w:eastAsia="宋体" w:cs="Times New Roman"/>
          <w:color w:val="000000"/>
          <w:kern w:val="0"/>
          <w:szCs w:val="28"/>
          <w:lang w:bidi="ar"/>
        </w:rPr>
        <w:t>6</w:t>
      </w:r>
      <w:r>
        <w:rPr>
          <w:rFonts w:eastAsia="宋体" w:cs="Times New Roman"/>
          <w:color w:val="000000"/>
          <w:kern w:val="0"/>
          <w:szCs w:val="28"/>
          <w:lang w:bidi="ar"/>
        </w:rPr>
        <w:t>0</w:t>
      </w:r>
      <w:r>
        <w:rPr>
          <w:rFonts w:hint="eastAsia" w:cs="Times New Roman"/>
          <w:color w:val="000000"/>
          <w:kern w:val="0"/>
          <w:szCs w:val="28"/>
          <w:lang w:bidi="ar"/>
        </w:rPr>
        <w:t>公里</w:t>
      </w:r>
      <w:r>
        <w:rPr>
          <w:rFonts w:hint="eastAsia" w:ascii="仿宋" w:hAnsi="仿宋" w:cs="仿宋"/>
          <w:color w:val="000000"/>
          <w:kern w:val="0"/>
          <w:szCs w:val="28"/>
          <w:lang w:bidi="ar"/>
        </w:rPr>
        <w:t>。</w:t>
      </w:r>
    </w:p>
    <w:p>
      <w:pPr>
        <w:pageBreakBefore/>
        <w:ind w:firstLine="0" w:firstLineChars="0"/>
        <w:rPr>
          <w:rFonts w:cs="Times New Roman"/>
          <w:szCs w:val="28"/>
        </w:rPr>
      </w:pPr>
      <w:r>
        <w:rPr>
          <w:rFonts w:hint="eastAsia" w:cs="Times New Roman"/>
          <w:szCs w:val="28"/>
        </w:rPr>
        <w:drawing>
          <wp:inline distT="0" distB="0" distL="114300" distR="114300">
            <wp:extent cx="5349240" cy="3063240"/>
            <wp:effectExtent l="0" t="0" r="10160" b="0"/>
            <wp:docPr id="20" name="图片 20"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2"/>
                    <pic:cNvPicPr>
                      <a:picLocks noChangeAspect="1"/>
                    </pic:cNvPicPr>
                  </pic:nvPicPr>
                  <pic:blipFill>
                    <a:blip r:embed="rId42"/>
                    <a:stretch>
                      <a:fillRect/>
                    </a:stretch>
                  </pic:blipFill>
                  <pic:spPr>
                    <a:xfrm>
                      <a:off x="0" y="0"/>
                      <a:ext cx="5349240" cy="3063240"/>
                    </a:xfrm>
                    <a:prstGeom prst="rect">
                      <a:avLst/>
                    </a:prstGeom>
                  </pic:spPr>
                </pic:pic>
              </a:graphicData>
            </a:graphic>
          </wp:inline>
        </w:drawing>
      </w:r>
    </w:p>
    <w:p>
      <w:pPr>
        <w:widowControl/>
        <w:ind w:firstLine="0" w:firstLineChars="0"/>
        <w:jc w:val="center"/>
        <w:rPr>
          <w:rFonts w:ascii="黑体" w:hAnsi="黑体" w:eastAsia="黑体" w:cs="黑体"/>
          <w:sz w:val="24"/>
        </w:rPr>
      </w:pPr>
      <w:r>
        <w:rPr>
          <w:rFonts w:hint="eastAsia" w:ascii="黑体" w:hAnsi="黑体" w:eastAsia="黑体" w:cs="黑体"/>
          <w:color w:val="000000"/>
          <w:kern w:val="0"/>
          <w:sz w:val="24"/>
          <w:lang w:bidi="ar"/>
        </w:rPr>
        <w:t>图</w:t>
      </w:r>
      <w:r>
        <w:rPr>
          <w:rFonts w:eastAsia="黑体" w:cs="Times New Roman"/>
          <w:color w:val="000000"/>
          <w:kern w:val="0"/>
          <w:sz w:val="24"/>
          <w:lang w:bidi="ar"/>
        </w:rPr>
        <w:t>6-</w:t>
      </w:r>
      <w:r>
        <w:rPr>
          <w:rFonts w:hint="eastAsia" w:eastAsia="黑体" w:cs="Times New Roman"/>
          <w:color w:val="000000"/>
          <w:kern w:val="0"/>
          <w:sz w:val="24"/>
          <w:lang w:bidi="ar"/>
        </w:rPr>
        <w:t>7</w:t>
      </w:r>
      <w:r>
        <w:rPr>
          <w:rFonts w:hint="eastAsia" w:ascii="黑体" w:hAnsi="黑体" w:eastAsia="黑体" w:cs="黑体"/>
          <w:color w:val="000000"/>
          <w:kern w:val="0"/>
          <w:sz w:val="24"/>
          <w:lang w:bidi="ar"/>
        </w:rPr>
        <w:t xml:space="preserve"> 混合修复模式建设意向图</w:t>
      </w:r>
    </w:p>
    <w:p>
      <w:pPr>
        <w:pStyle w:val="5"/>
        <w:numPr>
          <w:ilvl w:val="1"/>
          <w:numId w:val="49"/>
        </w:numPr>
        <w:spacing w:before="197"/>
      </w:pPr>
      <w:bookmarkStart w:id="330" w:name="_Toc25352"/>
      <w:bookmarkStart w:id="331" w:name="_Toc114084656"/>
      <w:bookmarkStart w:id="332" w:name="_Toc117114384"/>
      <w:bookmarkStart w:id="333" w:name="_Toc113925779"/>
      <w:bookmarkStart w:id="334" w:name="_Toc21168"/>
      <w:bookmarkStart w:id="335" w:name="_Toc113925527"/>
      <w:r>
        <w:rPr>
          <w:rFonts w:hint="eastAsia"/>
        </w:rPr>
        <w:t>栖息地保护（恢复）规划</w:t>
      </w:r>
      <w:bookmarkEnd w:id="330"/>
      <w:bookmarkEnd w:id="331"/>
      <w:bookmarkEnd w:id="332"/>
      <w:bookmarkEnd w:id="333"/>
      <w:bookmarkEnd w:id="334"/>
      <w:bookmarkEnd w:id="335"/>
    </w:p>
    <w:p>
      <w:pPr>
        <w:pStyle w:val="6"/>
        <w:numPr>
          <w:ilvl w:val="2"/>
          <w:numId w:val="51"/>
        </w:numPr>
      </w:pPr>
      <w:bookmarkStart w:id="336" w:name="_Toc113925528"/>
      <w:bookmarkStart w:id="337" w:name="_Toc113925780"/>
      <w:r>
        <w:rPr>
          <w:rFonts w:hint="eastAsia"/>
        </w:rPr>
        <w:t>栖息地现状</w:t>
      </w:r>
      <w:bookmarkEnd w:id="336"/>
      <w:bookmarkEnd w:id="337"/>
    </w:p>
    <w:p>
      <w:pPr>
        <w:ind w:firstLine="560"/>
        <w:rPr>
          <w:rFonts w:ascii="仿宋" w:hAnsi="仿宋" w:cs="仿宋"/>
        </w:rPr>
      </w:pPr>
      <w:r>
        <w:rPr>
          <w:rFonts w:hint="eastAsia" w:ascii="仿宋" w:hAnsi="仿宋" w:cs="仿宋"/>
        </w:rPr>
        <w:t>湿地公园位于我国三大候鸟迁徙路线的中线主干上，是迁徙鸟类的重要停歇驿站，其比较开阔的水域、良好的水质、多样的湿地生境以及周边众多可以取食的农田，将为迁徙候鸟在湖南段提供重要的停歇和觅食场所，为繁殖鸣禽和水鸟及越冬雁鸭类提供良好的栖息地，是我国候鸟迁徙路线中线主干湖南段的重要节点。但由于湿地公园附近人为活动较频繁，对湿地生态系统及生物栖息地（生境）造成了一定的破坏和影响。</w:t>
      </w:r>
    </w:p>
    <w:p>
      <w:pPr>
        <w:pStyle w:val="6"/>
        <w:numPr>
          <w:ilvl w:val="2"/>
          <w:numId w:val="51"/>
        </w:numPr>
      </w:pPr>
      <w:bookmarkStart w:id="338" w:name="_Toc113925529"/>
      <w:bookmarkStart w:id="339" w:name="_Toc113925781"/>
      <w:r>
        <w:rPr>
          <w:rFonts w:hint="eastAsia"/>
        </w:rPr>
        <w:t>建设思路</w:t>
      </w:r>
      <w:bookmarkEnd w:id="338"/>
      <w:bookmarkEnd w:id="339"/>
    </w:p>
    <w:p>
      <w:pPr>
        <w:ind w:firstLine="560"/>
        <w:rPr>
          <w:rFonts w:cs="Times New Roman"/>
        </w:rPr>
      </w:pPr>
      <w:r>
        <w:rPr>
          <w:rFonts w:hint="eastAsia" w:cs="Times New Roman"/>
        </w:rPr>
        <w:t>仙阳湖国家湿地公园建设过程中，应尽量不破坏原生的植被及环境，如果破坏实在不可避免，应严格按照法律规定进行环境影响评价，采取积极的防范措施。</w:t>
      </w:r>
    </w:p>
    <w:p>
      <w:pPr>
        <w:pStyle w:val="47"/>
        <w:numPr>
          <w:ilvl w:val="2"/>
          <w:numId w:val="52"/>
        </w:numPr>
        <w:ind w:firstLineChars="0"/>
        <w:rPr>
          <w:rFonts w:cs="Times New Roman"/>
        </w:rPr>
      </w:pPr>
      <w:r>
        <w:rPr>
          <w:rFonts w:hint="eastAsia" w:cs="Times New Roman"/>
        </w:rPr>
        <w:t>对现有洲滩栖息地进行严格保护，禁止随意在洲滩上割草、放牧和放火，同时不得随意在洲滩上取土采砂。</w:t>
      </w:r>
    </w:p>
    <w:p>
      <w:pPr>
        <w:pStyle w:val="47"/>
        <w:numPr>
          <w:ilvl w:val="2"/>
          <w:numId w:val="52"/>
        </w:numPr>
        <w:ind w:firstLineChars="0"/>
        <w:rPr>
          <w:rFonts w:cs="Times New Roman"/>
        </w:rPr>
      </w:pPr>
      <w:r>
        <w:rPr>
          <w:rFonts w:hint="eastAsia" w:cs="Times New Roman"/>
        </w:rPr>
        <w:t>恢复并扩大鸟类的栖息生境，营造景观的多样性和鸟类栖息地的异质性。多样的景观和异质的环境能吸引多样的鸟类。</w:t>
      </w:r>
    </w:p>
    <w:p>
      <w:pPr>
        <w:pStyle w:val="47"/>
        <w:numPr>
          <w:ilvl w:val="2"/>
          <w:numId w:val="52"/>
        </w:numPr>
        <w:ind w:firstLineChars="0"/>
        <w:rPr>
          <w:rFonts w:cs="Times New Roman"/>
        </w:rPr>
      </w:pPr>
      <w:r>
        <w:rPr>
          <w:rFonts w:hint="eastAsia" w:cs="Times New Roman"/>
        </w:rPr>
        <w:t>选用本土且果实适合鸟类食用的植物进行栖息地恢复和重建。除湿地原有特色树种外，可补充种植其它浆果类树种。</w:t>
      </w:r>
    </w:p>
    <w:p>
      <w:pPr>
        <w:pStyle w:val="47"/>
        <w:numPr>
          <w:ilvl w:val="2"/>
          <w:numId w:val="52"/>
        </w:numPr>
        <w:ind w:firstLineChars="0"/>
        <w:rPr>
          <w:rFonts w:cs="Times New Roman"/>
        </w:rPr>
      </w:pPr>
      <w:r>
        <w:rPr>
          <w:rFonts w:hint="eastAsia" w:cs="Times New Roman"/>
        </w:rPr>
        <w:t>加强湿地公园内湿地资源的实时监管，尤其是对重要生境、重点保护鸟类的及时监控以及减少人为和不确定因素的干扰，实现湿地公园智慧化管理。</w:t>
      </w:r>
    </w:p>
    <w:p>
      <w:pPr>
        <w:pStyle w:val="6"/>
        <w:numPr>
          <w:ilvl w:val="2"/>
          <w:numId w:val="51"/>
        </w:numPr>
      </w:pPr>
      <w:bookmarkStart w:id="340" w:name="_Toc113925782"/>
      <w:bookmarkStart w:id="341" w:name="_Toc113925530"/>
      <w:r>
        <w:rPr>
          <w:rFonts w:hint="eastAsia"/>
        </w:rPr>
        <w:t>建设内容</w:t>
      </w:r>
      <w:bookmarkEnd w:id="340"/>
      <w:bookmarkEnd w:id="341"/>
    </w:p>
    <w:p>
      <w:pPr>
        <w:pStyle w:val="47"/>
        <w:numPr>
          <w:ilvl w:val="0"/>
          <w:numId w:val="53"/>
        </w:numPr>
        <w:rPr>
          <w:rFonts w:cs="Times New Roman"/>
          <w:szCs w:val="28"/>
        </w:rPr>
      </w:pPr>
      <w:r>
        <w:rPr>
          <w:rFonts w:hint="eastAsia" w:cs="Times New Roman"/>
          <w:szCs w:val="28"/>
        </w:rPr>
        <w:t>洲滩湿地恢复与修复工程</w:t>
      </w:r>
    </w:p>
    <w:p>
      <w:pPr>
        <w:ind w:firstLine="560"/>
        <w:rPr>
          <w:rFonts w:cs="Times New Roman"/>
          <w:szCs w:val="28"/>
        </w:rPr>
      </w:pPr>
      <w:r>
        <w:rPr>
          <w:rFonts w:hint="eastAsia" w:cs="Times New Roman"/>
          <w:szCs w:val="28"/>
        </w:rPr>
        <w:t>目前，仙阳湖洲滩原生植被较少，树种单一，生态系统的结构已经发生了不合理转变，导致湿地生境的破坏、生物多样性降低和生态系统自我维持能力的下降。因此，规划对仙阳湖洲滩区湿地进行恢复和重建，借助人工促进恢复手段，恢复和重建原有的湿地生态系统结构，恢复其生态功能。通过洲滩湿地修复，打造良好的湿地景观，为开展湿地科普宣教和湿地生态旅游营造良好的湿地生态景观载体。</w:t>
      </w:r>
    </w:p>
    <w:p>
      <w:pPr>
        <w:ind w:firstLine="560"/>
      </w:pPr>
      <w:r>
        <w:rPr>
          <w:rFonts w:hint="eastAsia" w:cs="Times New Roman"/>
          <w:szCs w:val="28"/>
        </w:rPr>
        <w:t>洲滩湿地恢复与修复技术思路概括为：采取自然恢复为主体，人工促进为辅助的思路，通过种植乡土植被，经过一定时间的自然恢复过程后，形成具有原生湿地生态特征和自然风貌的森林、芦苇、草本沼泽湿地生态系统。其中滩涂类草木选择菰、菵草、虉草、看麦娘、水田碎米荠等，沼泽类选择荷花、虉草、看麦娘、石龙芮、蔊菜、弯曲碎米荠等，森林沼泽类选择柳树、池杉、落羽杉、水杉等。本次规划在马鞍岛、乐天岛、月光岛实施洲滩湿地恢复与修复工程，修复面积1</w:t>
      </w:r>
      <w:r>
        <w:rPr>
          <w:rFonts w:cs="Times New Roman"/>
          <w:szCs w:val="28"/>
        </w:rPr>
        <w:t>45</w:t>
      </w:r>
      <w:r>
        <w:rPr>
          <w:rFonts w:hint="eastAsia" w:cs="Times New Roman"/>
          <w:szCs w:val="28"/>
        </w:rPr>
        <w:t>公顷。</w:t>
      </w:r>
    </w:p>
    <w:p>
      <w:pPr>
        <w:pStyle w:val="16"/>
        <w:ind w:firstLine="0" w:firstLineChars="0"/>
      </w:pPr>
      <w:r>
        <w:rPr>
          <w:rFonts w:hint="eastAsia"/>
        </w:rPr>
        <w:drawing>
          <wp:inline distT="0" distB="0" distL="114300" distR="114300">
            <wp:extent cx="5638800" cy="3244850"/>
            <wp:effectExtent l="0" t="0" r="0" b="12700"/>
            <wp:docPr id="33" name="图片 33" descr="乐天岛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乐天岛2"/>
                    <pic:cNvPicPr>
                      <a:picLocks noChangeAspect="1"/>
                    </pic:cNvPicPr>
                  </pic:nvPicPr>
                  <pic:blipFill>
                    <a:blip r:embed="rId43"/>
                    <a:srcRect t="8994"/>
                    <a:stretch>
                      <a:fillRect/>
                    </a:stretch>
                  </pic:blipFill>
                  <pic:spPr>
                    <a:xfrm>
                      <a:off x="0" y="0"/>
                      <a:ext cx="5638800" cy="3244850"/>
                    </a:xfrm>
                    <a:prstGeom prst="rect">
                      <a:avLst/>
                    </a:prstGeom>
                  </pic:spPr>
                </pic:pic>
              </a:graphicData>
            </a:graphic>
          </wp:inline>
        </w:drawing>
      </w:r>
    </w:p>
    <w:p>
      <w:pPr>
        <w:pStyle w:val="47"/>
        <w:ind w:firstLine="0" w:firstLineChars="0"/>
        <w:jc w:val="center"/>
        <w:rPr>
          <w:rFonts w:ascii="黑体" w:hAnsi="黑体" w:eastAsia="黑体" w:cs="黑体"/>
          <w:sz w:val="24"/>
        </w:rPr>
      </w:pPr>
      <w:r>
        <w:rPr>
          <w:rFonts w:hint="eastAsia" w:ascii="黑体" w:hAnsi="黑体" w:eastAsia="黑体" w:cs="黑体"/>
          <w:color w:val="000000"/>
          <w:kern w:val="0"/>
          <w:sz w:val="24"/>
          <w:lang w:bidi="ar"/>
        </w:rPr>
        <w:t>图</w:t>
      </w:r>
      <w:r>
        <w:rPr>
          <w:rFonts w:eastAsia="黑体" w:cs="Times New Roman"/>
          <w:color w:val="000000"/>
          <w:kern w:val="0"/>
          <w:sz w:val="24"/>
          <w:lang w:bidi="ar"/>
        </w:rPr>
        <w:t>6-</w:t>
      </w:r>
      <w:r>
        <w:rPr>
          <w:rFonts w:hint="eastAsia" w:eastAsia="黑体" w:cs="Times New Roman"/>
          <w:color w:val="000000"/>
          <w:kern w:val="0"/>
          <w:sz w:val="24"/>
          <w:lang w:bidi="ar"/>
        </w:rPr>
        <w:t>8</w:t>
      </w:r>
      <w:r>
        <w:rPr>
          <w:rFonts w:ascii="黑体" w:hAnsi="黑体" w:eastAsia="黑体" w:cs="黑体"/>
          <w:color w:val="000000"/>
          <w:kern w:val="0"/>
          <w:sz w:val="24"/>
          <w:lang w:bidi="ar"/>
        </w:rPr>
        <w:t xml:space="preserve"> </w:t>
      </w:r>
      <w:r>
        <w:rPr>
          <w:rFonts w:hint="eastAsia" w:ascii="黑体" w:hAnsi="黑体" w:eastAsia="黑体" w:cs="黑体"/>
          <w:color w:val="000000"/>
          <w:kern w:val="0"/>
          <w:sz w:val="24"/>
          <w:lang w:bidi="ar"/>
        </w:rPr>
        <w:t>规划洲滩湿地恢复与修复工程现场照片</w:t>
      </w:r>
    </w:p>
    <w:p>
      <w:pPr>
        <w:pStyle w:val="47"/>
        <w:numPr>
          <w:ilvl w:val="0"/>
          <w:numId w:val="53"/>
        </w:numPr>
        <w:rPr>
          <w:rFonts w:cs="Times New Roman"/>
          <w:szCs w:val="28"/>
        </w:rPr>
      </w:pPr>
      <w:r>
        <w:rPr>
          <w:rFonts w:hint="eastAsia" w:cs="Times New Roman"/>
          <w:szCs w:val="28"/>
        </w:rPr>
        <w:t>水禽栖息地重建工程</w:t>
      </w:r>
    </w:p>
    <w:p>
      <w:pPr>
        <w:ind w:firstLine="560"/>
      </w:pPr>
      <w:r>
        <w:rPr>
          <w:rFonts w:hint="eastAsia" w:cs="Times New Roman"/>
          <w:szCs w:val="28"/>
        </w:rPr>
        <w:t>湿地公园内水禽栖息地主要为低位洪泛滩涂地，该类栖息地水生生物丰富，是鹭类、鸭类、鹬类等越冬水禽的主要觅食和栖息场所。选择的乡土植物：香附子、扁穗莎草、萤蔺、荸荠、谷精草、鸭舌草、灯心草、沿阶草、止血马唐、看麦娘等。规划在十坪桥、乐天岛、毛坪、杨家岗、鲍家渡、邓坪、花子洞等地实施水禽栖息小微湿地重建工程，重建面积为7</w:t>
      </w:r>
      <w:r>
        <w:rPr>
          <w:rFonts w:cs="Times New Roman"/>
          <w:szCs w:val="28"/>
        </w:rPr>
        <w:t>00</w:t>
      </w:r>
      <w:r>
        <w:rPr>
          <w:rFonts w:hint="eastAsia" w:cs="Times New Roman"/>
          <w:szCs w:val="28"/>
        </w:rPr>
        <w:t>公顷。</w:t>
      </w:r>
    </w:p>
    <w:p>
      <w:pPr>
        <w:pStyle w:val="16"/>
        <w:ind w:firstLine="0" w:firstLineChars="0"/>
      </w:pPr>
      <w:r>
        <w:rPr>
          <w:rFonts w:hint="eastAsia"/>
        </w:rPr>
        <w:drawing>
          <wp:inline distT="0" distB="0" distL="114300" distR="114300">
            <wp:extent cx="5638800" cy="3172460"/>
            <wp:effectExtent l="0" t="0" r="0" b="8890"/>
            <wp:docPr id="34" name="图片 34" descr="sh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shui"/>
                    <pic:cNvPicPr>
                      <a:picLocks noChangeAspect="1"/>
                    </pic:cNvPicPr>
                  </pic:nvPicPr>
                  <pic:blipFill>
                    <a:blip r:embed="rId44"/>
                    <a:stretch>
                      <a:fillRect/>
                    </a:stretch>
                  </pic:blipFill>
                  <pic:spPr>
                    <a:xfrm>
                      <a:off x="0" y="0"/>
                      <a:ext cx="5638800" cy="3172460"/>
                    </a:xfrm>
                    <a:prstGeom prst="rect">
                      <a:avLst/>
                    </a:prstGeom>
                  </pic:spPr>
                </pic:pic>
              </a:graphicData>
            </a:graphic>
          </wp:inline>
        </w:drawing>
      </w:r>
    </w:p>
    <w:p>
      <w:pPr>
        <w:pStyle w:val="47"/>
        <w:ind w:firstLine="0" w:firstLineChars="0"/>
        <w:jc w:val="center"/>
      </w:pPr>
      <w:r>
        <w:rPr>
          <w:rFonts w:hint="eastAsia" w:ascii="黑体" w:hAnsi="黑体" w:eastAsia="黑体" w:cs="黑体"/>
          <w:color w:val="000000"/>
          <w:kern w:val="0"/>
          <w:sz w:val="24"/>
          <w:lang w:bidi="ar"/>
        </w:rPr>
        <w:t>图</w:t>
      </w:r>
      <w:r>
        <w:rPr>
          <w:rFonts w:eastAsia="黑体" w:cs="Times New Roman"/>
          <w:color w:val="000000"/>
          <w:kern w:val="0"/>
          <w:sz w:val="24"/>
          <w:lang w:bidi="ar"/>
        </w:rPr>
        <w:t>6-</w:t>
      </w:r>
      <w:r>
        <w:rPr>
          <w:rFonts w:hint="eastAsia" w:eastAsia="黑体" w:cs="Times New Roman"/>
          <w:color w:val="000000"/>
          <w:kern w:val="0"/>
          <w:sz w:val="24"/>
          <w:lang w:bidi="ar"/>
        </w:rPr>
        <w:t>9</w:t>
      </w:r>
      <w:r>
        <w:rPr>
          <w:rFonts w:ascii="黑体" w:hAnsi="黑体" w:eastAsia="黑体" w:cs="黑体"/>
          <w:color w:val="000000"/>
          <w:kern w:val="0"/>
          <w:sz w:val="24"/>
          <w:lang w:bidi="ar"/>
        </w:rPr>
        <w:t xml:space="preserve"> </w:t>
      </w:r>
      <w:r>
        <w:rPr>
          <w:rFonts w:hint="eastAsia" w:ascii="黑体" w:hAnsi="黑体" w:eastAsia="黑体" w:cs="黑体"/>
          <w:color w:val="000000"/>
          <w:kern w:val="0"/>
          <w:sz w:val="24"/>
          <w:lang w:bidi="ar"/>
        </w:rPr>
        <w:t>规划水禽栖息地重建工程现场照片</w:t>
      </w:r>
    </w:p>
    <w:p>
      <w:pPr>
        <w:pStyle w:val="47"/>
        <w:numPr>
          <w:ilvl w:val="0"/>
          <w:numId w:val="53"/>
        </w:numPr>
        <w:rPr>
          <w:rFonts w:cs="Times New Roman"/>
          <w:szCs w:val="28"/>
        </w:rPr>
      </w:pPr>
      <w:r>
        <w:rPr>
          <w:rFonts w:hint="eastAsia" w:cs="Times New Roman"/>
          <w:szCs w:val="28"/>
        </w:rPr>
        <w:t>河岸景观林恢复</w:t>
      </w:r>
    </w:p>
    <w:p>
      <w:pPr>
        <w:ind w:firstLine="560"/>
        <w:rPr>
          <w:rFonts w:cs="Times New Roman"/>
          <w:szCs w:val="28"/>
        </w:rPr>
      </w:pPr>
      <w:r>
        <w:rPr>
          <w:rFonts w:hint="eastAsia" w:cs="Times New Roman"/>
          <w:szCs w:val="28"/>
        </w:rPr>
        <w:t>河岸的植被有助于调控沉积物及化学元素向仙阳湖流失，河岸景观林生态系统是良好的营养库，并能减少周围农田生态系统的养分流失。仙阳湖沿线大部分河岸景观林生长良好，植被茂盛。但是，在局部河段，两岸植被生长稀疏，不连贯，规划对这些地段植被进行补植补造，选择樟树、垂柳等乡土树种为主，营造健康的河岸生态系统，形成乔灌草合理搭配的秀美的立体生态景观，规划河岸景观林面积</w:t>
      </w:r>
      <w:r>
        <w:rPr>
          <w:rFonts w:cs="Times New Roman"/>
          <w:szCs w:val="28"/>
        </w:rPr>
        <w:t>100</w:t>
      </w:r>
      <w:r>
        <w:rPr>
          <w:rFonts w:hint="eastAsia" w:cs="Times New Roman"/>
          <w:szCs w:val="28"/>
        </w:rPr>
        <w:t>公顷。</w:t>
      </w:r>
    </w:p>
    <w:p>
      <w:pPr>
        <w:pStyle w:val="47"/>
        <w:numPr>
          <w:ilvl w:val="0"/>
          <w:numId w:val="53"/>
        </w:numPr>
        <w:rPr>
          <w:rFonts w:cs="Times New Roman"/>
          <w:szCs w:val="28"/>
        </w:rPr>
      </w:pPr>
      <w:r>
        <w:rPr>
          <w:rFonts w:hint="eastAsia" w:cs="Times New Roman"/>
          <w:szCs w:val="28"/>
        </w:rPr>
        <w:t>鱼类资源及其生境保护工程</w:t>
      </w:r>
    </w:p>
    <w:p>
      <w:pPr>
        <w:ind w:firstLine="560"/>
        <w:rPr>
          <w:rFonts w:cs="Times New Roman"/>
          <w:szCs w:val="28"/>
        </w:rPr>
      </w:pPr>
      <w:r>
        <w:rPr>
          <w:rFonts w:hint="eastAsia" w:cs="Times New Roman"/>
          <w:szCs w:val="28"/>
        </w:rPr>
        <w:t>渫水、仙阳湖等已全面禁止在河道采砂、药鱼、电鱼等破坏生态环境的行为。为了进一步强化对鱼类资源及其生境保护，规划对湿地公园周边居民的捕捞行为进行规范，并逐步禁止在湿地公园内捕鱼，同时开展增殖放流工作。</w:t>
      </w:r>
    </w:p>
    <w:p>
      <w:pPr>
        <w:ind w:firstLine="560"/>
        <w:rPr>
          <w:rFonts w:cs="Times New Roman"/>
          <w:szCs w:val="28"/>
        </w:rPr>
      </w:pPr>
      <w:r>
        <w:rPr>
          <w:rFonts w:hint="eastAsia" w:cs="Times New Roman"/>
          <w:szCs w:val="28"/>
        </w:rPr>
        <w:t>目前规划中的抽水蓄能项目，虽不在湿地公园红线范围内，但对仙阳湖国家湿地公园的影响是不可避免的。湿地公园应联合抽水蓄能单位，共同监测项目对鱼类等水生动物以及周边生境的影响，有针对性的做出保护恢复措施，确保仙阳湖国家湿地公园生态功能及生物多样性，保障生态安全。</w:t>
      </w:r>
    </w:p>
    <w:p>
      <w:pPr>
        <w:pStyle w:val="47"/>
        <w:numPr>
          <w:ilvl w:val="0"/>
          <w:numId w:val="53"/>
        </w:numPr>
        <w:rPr>
          <w:rFonts w:cs="Times New Roman"/>
          <w:szCs w:val="28"/>
        </w:rPr>
      </w:pPr>
      <w:r>
        <w:rPr>
          <w:rFonts w:hint="eastAsia" w:cs="Times New Roman"/>
          <w:szCs w:val="28"/>
        </w:rPr>
        <w:t>杨树林改造工程</w:t>
      </w:r>
    </w:p>
    <w:p>
      <w:pPr>
        <w:ind w:firstLine="560"/>
        <w:rPr>
          <w:rFonts w:cs="Times New Roman"/>
          <w:szCs w:val="28"/>
        </w:rPr>
      </w:pPr>
      <w:r>
        <w:rPr>
          <w:rFonts w:hint="eastAsia" w:cs="Times New Roman"/>
          <w:szCs w:val="28"/>
        </w:rPr>
        <w:t>前期已经对湿地公园范围内</w:t>
      </w:r>
      <w:r>
        <w:rPr>
          <w:rFonts w:hint="eastAsia" w:cs="Times New Roman"/>
          <w:szCs w:val="28"/>
          <w:lang w:val="en-US" w:eastAsia="zh-CN"/>
        </w:rPr>
        <w:t>部分</w:t>
      </w:r>
      <w:r>
        <w:rPr>
          <w:rFonts w:hint="eastAsia" w:cs="Times New Roman"/>
          <w:szCs w:val="28"/>
        </w:rPr>
        <w:t>杨树</w:t>
      </w:r>
      <w:r>
        <w:rPr>
          <w:rFonts w:hint="eastAsia" w:cs="Times New Roman"/>
          <w:szCs w:val="28"/>
          <w:lang w:val="en-US" w:eastAsia="zh-CN"/>
        </w:rPr>
        <w:t>林</w:t>
      </w:r>
      <w:r>
        <w:rPr>
          <w:rFonts w:hint="eastAsia" w:cs="Times New Roman"/>
          <w:szCs w:val="28"/>
        </w:rPr>
        <w:t>进行了</w:t>
      </w:r>
      <w:r>
        <w:rPr>
          <w:rFonts w:hint="eastAsia" w:cs="Times New Roman"/>
          <w:szCs w:val="28"/>
          <w:lang w:val="en-US" w:eastAsia="zh-CN"/>
        </w:rPr>
        <w:t>改造</w:t>
      </w:r>
      <w:r>
        <w:rPr>
          <w:rFonts w:hint="eastAsia" w:cs="Times New Roman"/>
          <w:szCs w:val="28"/>
        </w:rPr>
        <w:t>，但仍有部分区域</w:t>
      </w:r>
      <w:r>
        <w:rPr>
          <w:rFonts w:hint="eastAsia" w:cs="Times New Roman"/>
          <w:szCs w:val="28"/>
          <w:lang w:val="en-US" w:eastAsia="zh-CN"/>
        </w:rPr>
        <w:t>没有实现林分结构的多样性</w:t>
      </w:r>
      <w:r>
        <w:rPr>
          <w:rFonts w:hint="eastAsia" w:cs="Times New Roman"/>
          <w:szCs w:val="28"/>
        </w:rPr>
        <w:t>，本期规划继续杨树</w:t>
      </w:r>
      <w:r>
        <w:rPr>
          <w:rFonts w:hint="eastAsia" w:cs="Times New Roman"/>
          <w:szCs w:val="28"/>
          <w:lang w:val="en-US" w:eastAsia="zh-CN"/>
        </w:rPr>
        <w:t>林改造</w:t>
      </w:r>
      <w:r>
        <w:rPr>
          <w:rFonts w:hint="eastAsia" w:cs="Times New Roman"/>
          <w:szCs w:val="28"/>
        </w:rPr>
        <w:t>工程，对湿地公园内皂市镇和磨市镇区域所有杨树</w:t>
      </w:r>
      <w:r>
        <w:rPr>
          <w:rFonts w:hint="eastAsia" w:cs="Times New Roman"/>
          <w:szCs w:val="28"/>
          <w:lang w:val="en-US" w:eastAsia="zh-CN"/>
        </w:rPr>
        <w:t>纯林</w:t>
      </w:r>
      <w:r>
        <w:rPr>
          <w:rFonts w:hint="eastAsia" w:cs="Times New Roman"/>
          <w:szCs w:val="28"/>
        </w:rPr>
        <w:t>进行</w:t>
      </w:r>
      <w:r>
        <w:rPr>
          <w:rFonts w:hint="eastAsia" w:cs="Times New Roman"/>
          <w:szCs w:val="28"/>
          <w:lang w:val="en-US" w:eastAsia="zh-CN"/>
        </w:rPr>
        <w:t>改造</w:t>
      </w:r>
      <w:r>
        <w:rPr>
          <w:rFonts w:hint="eastAsia" w:cs="Times New Roman"/>
          <w:szCs w:val="28"/>
        </w:rPr>
        <w:t>，涉及</w:t>
      </w:r>
      <w:r>
        <w:rPr>
          <w:rFonts w:hint="eastAsia" w:cs="Times New Roman"/>
          <w:szCs w:val="28"/>
          <w:lang w:val="en-US" w:eastAsia="zh-CN"/>
        </w:rPr>
        <w:t>改造</w:t>
      </w:r>
      <w:r>
        <w:rPr>
          <w:rFonts w:hint="eastAsia" w:cs="Times New Roman"/>
          <w:szCs w:val="28"/>
        </w:rPr>
        <w:t>区域5</w:t>
      </w:r>
      <w:r>
        <w:rPr>
          <w:rFonts w:cs="Times New Roman"/>
          <w:szCs w:val="28"/>
        </w:rPr>
        <w:t>0</w:t>
      </w:r>
      <w:r>
        <w:rPr>
          <w:rFonts w:hint="eastAsia" w:cs="Times New Roman"/>
          <w:szCs w:val="28"/>
        </w:rPr>
        <w:t>公顷，</w:t>
      </w:r>
      <w:r>
        <w:rPr>
          <w:rFonts w:hint="eastAsia" w:ascii="Times New Roman" w:hAnsi="Times New Roman" w:eastAsia="仿宋" w:cs="Times New Roman"/>
          <w:kern w:val="2"/>
          <w:sz w:val="28"/>
          <w:szCs w:val="28"/>
          <w:lang w:val="en-US" w:eastAsia="zh-CN" w:bidi="ar-SA"/>
        </w:rPr>
        <w:t>改造树种选择水杉、池杉、旱柳、紫穗槐、胡颓子等</w:t>
      </w:r>
      <w:r>
        <w:rPr>
          <w:rFonts w:hint="eastAsia" w:cs="Times New Roman"/>
          <w:kern w:val="2"/>
          <w:sz w:val="28"/>
          <w:szCs w:val="28"/>
          <w:lang w:val="en-US" w:eastAsia="zh-CN" w:bidi="ar-SA"/>
        </w:rPr>
        <w:t>，结构乡土灌木、草本实现植物多样性</w:t>
      </w:r>
      <w:r>
        <w:rPr>
          <w:rFonts w:hint="eastAsia" w:ascii="Times New Roman" w:hAnsi="Times New Roman" w:eastAsia="仿宋" w:cs="Times New Roman"/>
          <w:kern w:val="2"/>
          <w:sz w:val="28"/>
          <w:szCs w:val="28"/>
          <w:lang w:val="en-US" w:eastAsia="zh-CN" w:bidi="ar-SA"/>
        </w:rPr>
        <w:t>改造。</w:t>
      </w:r>
    </w:p>
    <w:p>
      <w:pPr>
        <w:pStyle w:val="16"/>
        <w:ind w:firstLine="0" w:firstLineChars="0"/>
      </w:pPr>
      <w:r>
        <w:rPr>
          <w:rFonts w:hint="eastAsia"/>
        </w:rPr>
        <w:drawing>
          <wp:inline distT="0" distB="0" distL="114300" distR="114300">
            <wp:extent cx="5638800" cy="3177540"/>
            <wp:effectExtent l="0" t="0" r="0" b="3810"/>
            <wp:docPr id="23" name="图片 23" descr="微信图片_202211280818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微信图片_202211280818101"/>
                    <pic:cNvPicPr>
                      <a:picLocks noChangeAspect="1"/>
                    </pic:cNvPicPr>
                  </pic:nvPicPr>
                  <pic:blipFill>
                    <a:blip r:embed="rId45"/>
                    <a:stretch>
                      <a:fillRect/>
                    </a:stretch>
                  </pic:blipFill>
                  <pic:spPr>
                    <a:xfrm>
                      <a:off x="0" y="0"/>
                      <a:ext cx="5638800" cy="3177540"/>
                    </a:xfrm>
                    <a:prstGeom prst="rect">
                      <a:avLst/>
                    </a:prstGeom>
                  </pic:spPr>
                </pic:pic>
              </a:graphicData>
            </a:graphic>
          </wp:inline>
        </w:drawing>
      </w:r>
    </w:p>
    <w:p>
      <w:pPr>
        <w:widowControl/>
        <w:ind w:firstLine="0" w:firstLineChars="0"/>
        <w:jc w:val="center"/>
        <w:rPr>
          <w:rFonts w:ascii="黑体" w:hAnsi="黑体" w:eastAsia="黑体" w:cs="黑体"/>
          <w:sz w:val="24"/>
        </w:rPr>
      </w:pPr>
      <w:r>
        <w:rPr>
          <w:rFonts w:hint="eastAsia" w:ascii="黑体" w:hAnsi="黑体" w:eastAsia="黑体" w:cs="黑体"/>
          <w:color w:val="000000"/>
          <w:kern w:val="0"/>
          <w:sz w:val="24"/>
          <w:lang w:bidi="ar"/>
        </w:rPr>
        <w:t>图</w:t>
      </w:r>
      <w:r>
        <w:rPr>
          <w:rFonts w:eastAsia="黑体" w:cs="Times New Roman"/>
          <w:color w:val="000000"/>
          <w:kern w:val="0"/>
          <w:sz w:val="24"/>
          <w:lang w:bidi="ar"/>
        </w:rPr>
        <w:t>6-</w:t>
      </w:r>
      <w:r>
        <w:rPr>
          <w:rFonts w:hint="eastAsia" w:eastAsia="黑体" w:cs="Times New Roman"/>
          <w:color w:val="000000"/>
          <w:kern w:val="0"/>
          <w:sz w:val="24"/>
          <w:lang w:bidi="ar"/>
        </w:rPr>
        <w:t>10</w:t>
      </w:r>
      <w:r>
        <w:rPr>
          <w:rFonts w:ascii="黑体" w:hAnsi="黑体" w:eastAsia="黑体" w:cs="黑体"/>
          <w:color w:val="000000"/>
          <w:kern w:val="0"/>
          <w:sz w:val="24"/>
          <w:lang w:bidi="ar"/>
        </w:rPr>
        <w:t xml:space="preserve"> </w:t>
      </w:r>
      <w:r>
        <w:rPr>
          <w:rFonts w:hint="eastAsia" w:ascii="黑体" w:hAnsi="黑体" w:eastAsia="黑体" w:cs="黑体"/>
          <w:color w:val="000000"/>
          <w:kern w:val="0"/>
          <w:sz w:val="24"/>
          <w:lang w:bidi="ar"/>
        </w:rPr>
        <w:t>规划杨树林改造工程现场照片</w:t>
      </w:r>
    </w:p>
    <w:p>
      <w:pPr>
        <w:pStyle w:val="47"/>
        <w:numPr>
          <w:ilvl w:val="0"/>
          <w:numId w:val="53"/>
        </w:numPr>
        <w:rPr>
          <w:rFonts w:cs="Times New Roman"/>
          <w:szCs w:val="28"/>
        </w:rPr>
      </w:pPr>
      <w:r>
        <w:rPr>
          <w:rFonts w:hint="eastAsia" w:cs="Times New Roman"/>
          <w:szCs w:val="28"/>
        </w:rPr>
        <w:t>野生动物救助站建设</w:t>
      </w:r>
    </w:p>
    <w:p>
      <w:pPr>
        <w:ind w:firstLine="560"/>
        <w:rPr>
          <w:rFonts w:cs="Times New Roman"/>
          <w:szCs w:val="28"/>
        </w:rPr>
      </w:pPr>
      <w:r>
        <w:rPr>
          <w:rFonts w:hint="eastAsia" w:cs="Times New Roman"/>
          <w:szCs w:val="28"/>
        </w:rPr>
        <w:t>湿地公园内野生动物资源丰富，国家重点保护动物众多。为了救护野生动物，救护伤病野生动物，饲养罚没与收留野生动物，宣传野生动物保护政策，规划在</w:t>
      </w:r>
      <w:r>
        <w:rPr>
          <w:rFonts w:hint="eastAsia" w:cs="Times New Roman"/>
        </w:rPr>
        <w:t>皂市镇彭家堡</w:t>
      </w:r>
      <w:r>
        <w:rPr>
          <w:rFonts w:hint="eastAsia" w:cs="Times New Roman"/>
          <w:szCs w:val="28"/>
        </w:rPr>
        <w:t>建设动物救助站（和鸟类环志站共建），用于野生动物救助，占地面积30</w:t>
      </w:r>
      <w:r>
        <w:rPr>
          <w:rFonts w:cs="Times New Roman"/>
          <w:szCs w:val="28"/>
        </w:rPr>
        <w:t>0</w:t>
      </w:r>
      <w:r>
        <w:rPr>
          <w:rFonts w:hint="eastAsia" w:cs="Times New Roman"/>
          <w:szCs w:val="28"/>
        </w:rPr>
        <w:t>平方米，</w:t>
      </w:r>
      <w:r>
        <w:rPr>
          <w:rFonts w:hint="eastAsia" w:cs="Times New Roman"/>
        </w:rPr>
        <w:t>主要包括鸟类救护室（对受伤鸟类实行救护）临时饲养场（对鸟类、雏鸟等进行临时饲养）器械设备库（配备望远镜、鸟网、环志钳、鸟环、手提秤、夜视灯、雨具、照相机、交通工具等设备，并负责保存和维修）。</w:t>
      </w:r>
    </w:p>
    <w:p>
      <w:pPr>
        <w:pStyle w:val="47"/>
        <w:numPr>
          <w:ilvl w:val="0"/>
          <w:numId w:val="53"/>
        </w:numPr>
        <w:rPr>
          <w:rFonts w:cs="Times New Roman"/>
          <w:szCs w:val="28"/>
        </w:rPr>
      </w:pPr>
      <w:r>
        <w:rPr>
          <w:rFonts w:hint="eastAsia" w:cs="Times New Roman"/>
          <w:szCs w:val="28"/>
        </w:rPr>
        <w:t>开展野生动植物保护宣传活动</w:t>
      </w:r>
    </w:p>
    <w:p>
      <w:pPr>
        <w:ind w:firstLine="560"/>
        <w:rPr>
          <w:rFonts w:cs="Times New Roman"/>
          <w:szCs w:val="28"/>
        </w:rPr>
      </w:pPr>
      <w:r>
        <w:rPr>
          <w:rFonts w:hint="eastAsia" w:cs="Times New Roman"/>
          <w:szCs w:val="28"/>
        </w:rPr>
        <w:t>要充分利用广播、电视、报刊、杂志、网络、微博、微信等多种媒体，采取多种形式，大力宣传保护野生动植物对生态环境建设和实施可持续发展战略的重要意义，宣传国家的有关政策法规。充</w:t>
      </w:r>
      <w:r>
        <w:rPr>
          <w:rFonts w:hint="eastAsia" w:ascii="仿宋" w:hAnsi="仿宋" w:cs="仿宋"/>
          <w:szCs w:val="28"/>
        </w:rPr>
        <w:t>分利用“爱鸟周”、“世界环境保护日”、“保护野生动物宣传月”和“国际湿地日”等时机，集中组织开展大型宣传活动，扩大社会影响，使保护野生动植物真正成为</w:t>
      </w:r>
      <w:r>
        <w:rPr>
          <w:rFonts w:hint="eastAsia" w:cs="Times New Roman"/>
          <w:szCs w:val="28"/>
        </w:rPr>
        <w:t>周边社区群众的自觉行为。</w:t>
      </w:r>
    </w:p>
    <w:p>
      <w:pPr>
        <w:pStyle w:val="47"/>
        <w:numPr>
          <w:ilvl w:val="0"/>
          <w:numId w:val="53"/>
        </w:numPr>
        <w:rPr>
          <w:rFonts w:cs="Times New Roman"/>
          <w:szCs w:val="28"/>
        </w:rPr>
      </w:pPr>
      <w:r>
        <w:rPr>
          <w:rFonts w:hint="eastAsia" w:cs="Times New Roman"/>
          <w:szCs w:val="28"/>
        </w:rPr>
        <w:t>野生动植物保护管理制度建设</w:t>
      </w:r>
    </w:p>
    <w:p>
      <w:pPr>
        <w:ind w:firstLine="560"/>
        <w:rPr>
          <w:rFonts w:cs="Times New Roman"/>
          <w:szCs w:val="28"/>
        </w:rPr>
      </w:pPr>
      <w:r>
        <w:rPr>
          <w:rFonts w:hint="eastAsia" w:cs="Times New Roman"/>
          <w:szCs w:val="28"/>
        </w:rPr>
        <w:t>要发挥舆论的监督作用，加强社区共管机制，同时加大野生动植物保护管理的执法力度，立法制订《湖南石门仙阳湖国家湿地公园管理条例》，明确野生动植物保护管理办法，运用法律手段，严厉打击在仙阳湖国家湿地公园进行乱捕滥猎、偷砍盗伐的违法犯罪行为，保护好野生动植物资源及其栖息地，使野生动植物保护工作真正落到实处。</w:t>
      </w:r>
    </w:p>
    <w:p>
      <w:pPr>
        <w:pStyle w:val="5"/>
        <w:numPr>
          <w:ilvl w:val="1"/>
          <w:numId w:val="51"/>
        </w:numPr>
        <w:spacing w:before="197"/>
      </w:pPr>
      <w:bookmarkStart w:id="342" w:name="_Toc117114385"/>
      <w:bookmarkStart w:id="343" w:name="_Toc26649"/>
      <w:bookmarkStart w:id="344" w:name="_Toc113925783"/>
      <w:bookmarkStart w:id="345" w:name="_Toc27932"/>
      <w:bookmarkStart w:id="346" w:name="_Toc114084657"/>
      <w:bookmarkStart w:id="347" w:name="_Toc113925531"/>
      <w:r>
        <w:rPr>
          <w:rFonts w:hint="eastAsia"/>
        </w:rPr>
        <w:t>其他保护规划</w:t>
      </w:r>
      <w:bookmarkEnd w:id="342"/>
      <w:bookmarkEnd w:id="343"/>
      <w:bookmarkEnd w:id="344"/>
      <w:bookmarkEnd w:id="345"/>
      <w:bookmarkEnd w:id="346"/>
      <w:bookmarkEnd w:id="347"/>
    </w:p>
    <w:p>
      <w:pPr>
        <w:pStyle w:val="6"/>
        <w:numPr>
          <w:ilvl w:val="2"/>
          <w:numId w:val="54"/>
        </w:numPr>
      </w:pPr>
      <w:bookmarkStart w:id="348" w:name="_Toc113925532"/>
      <w:bookmarkStart w:id="349" w:name="_Toc113925784"/>
      <w:r>
        <w:rPr>
          <w:rFonts w:hint="eastAsia"/>
        </w:rPr>
        <w:t>管理能力建设规划</w:t>
      </w:r>
      <w:bookmarkEnd w:id="348"/>
      <w:bookmarkEnd w:id="349"/>
    </w:p>
    <w:p>
      <w:pPr>
        <w:pStyle w:val="47"/>
        <w:numPr>
          <w:ilvl w:val="0"/>
          <w:numId w:val="55"/>
        </w:numPr>
        <w:ind w:firstLineChars="0"/>
        <w:rPr>
          <w:rFonts w:cs="Times New Roman"/>
          <w:szCs w:val="28"/>
        </w:rPr>
      </w:pPr>
      <w:r>
        <w:rPr>
          <w:rFonts w:hint="eastAsia" w:cs="Times New Roman"/>
          <w:szCs w:val="28"/>
        </w:rPr>
        <w:t>勘界立标</w:t>
      </w:r>
    </w:p>
    <w:p>
      <w:pPr>
        <w:ind w:firstLine="560"/>
        <w:rPr>
          <w:rFonts w:cs="Times New Roman"/>
          <w:szCs w:val="28"/>
        </w:rPr>
      </w:pPr>
      <w:r>
        <w:rPr>
          <w:rFonts w:hint="eastAsia" w:cs="Times New Roman"/>
          <w:szCs w:val="28"/>
        </w:rPr>
        <w:t>勘界立标是做好湿地公园管理的一项基础性工作，由于本期规划结合整合优化成果对湿地公园边界进行微调，因此本期规划将在上期开展的勘界立标基础上进行补充，在勘界立标工作中引入高精度测绘仪器，配合无人机作业，提高选点定位的工作精度，对前期设置的界碑、界桩和标示牌进行重新定位，并根据湿地公园实际需要：湿地公园边界与进出湿地公园的主要道路相交处必须树立界碑；湿地公园边界及功能区区界必须树立界桩，自然地形明显、人为活动较少的地段每100米设置一个，自然地形不明显、人为活动较多地段每300~500米设置一个，以及转向点处必须设置；在湿地公园的一般出入口、保护区内居民点和人为活动频繁处树立标牌。本期规划根据实际需要，在人流量密集区域继续进行确标立界建设，规划建设界碑10块、界桩600块、标示牌360块。</w:t>
      </w:r>
    </w:p>
    <w:p>
      <w:pPr>
        <w:ind w:firstLine="560" w:firstLineChars="0"/>
        <w:rPr>
          <w:rFonts w:cs="Times New Roman"/>
          <w:szCs w:val="28"/>
        </w:rPr>
      </w:pPr>
      <w:r>
        <w:rPr>
          <w:rFonts w:hint="eastAsia" w:cs="Times New Roman"/>
          <w:szCs w:val="28"/>
        </w:rPr>
        <w:t>① 界碑</w:t>
      </w:r>
    </w:p>
    <w:p>
      <w:pPr>
        <w:ind w:firstLine="560"/>
        <w:rPr>
          <w:rFonts w:cs="Times New Roman"/>
          <w:szCs w:val="28"/>
        </w:rPr>
      </w:pPr>
      <w:r>
        <w:rPr>
          <w:rFonts w:hint="eastAsia" w:cs="Times New Roman"/>
          <w:szCs w:val="28"/>
        </w:rPr>
        <w:t>主要设于进入湿地公园的交通要道、重要分界点、人们活动频繁处的边界醒目位置上。界碑为钢筋砼结构，也可用切割石材制作。规格为2.5米×1.5米×0.2米，界碑埋入地下0.5米。碑基用C15砼浇注，基坑深0.9米×0.5米×0.6米。界碑上分别用中、英文两种文字书写湿地公园名称、批准机关、批准时间。</w:t>
      </w:r>
    </w:p>
    <w:p>
      <w:pPr>
        <w:ind w:firstLine="560"/>
        <w:rPr>
          <w:rFonts w:cs="Times New Roman"/>
          <w:szCs w:val="28"/>
        </w:rPr>
      </w:pPr>
      <w:r>
        <w:rPr>
          <w:rFonts w:hint="eastAsia" w:cs="Times New Roman"/>
          <w:szCs w:val="28"/>
        </w:rPr>
        <w:t>② 界桩</w:t>
      </w:r>
    </w:p>
    <w:p>
      <w:pPr>
        <w:ind w:firstLine="560"/>
        <w:rPr>
          <w:rFonts w:cs="Times New Roman"/>
          <w:szCs w:val="28"/>
        </w:rPr>
      </w:pPr>
      <w:r>
        <w:rPr>
          <w:rFonts w:hint="eastAsia" w:cs="Times New Roman"/>
          <w:szCs w:val="28"/>
        </w:rPr>
        <w:t>界桩为石材材质，规格为1.6米×0.15米×0.15米，埋入地下0.5米。桩基用C15砼浇注，基坑深0.6米，直径0.4米。界桩上书写中、英两种文字“湖南石门仙阳湖国家湿地公园”并编号，朝向区外。</w:t>
      </w:r>
    </w:p>
    <w:p>
      <w:pPr>
        <w:ind w:firstLine="560"/>
        <w:rPr>
          <w:rFonts w:cs="Times New Roman"/>
          <w:szCs w:val="28"/>
        </w:rPr>
      </w:pPr>
      <w:r>
        <w:rPr>
          <w:rFonts w:hint="eastAsia" w:cs="Times New Roman"/>
          <w:szCs w:val="28"/>
        </w:rPr>
        <w:t>③ 标示牌</w:t>
      </w:r>
    </w:p>
    <w:p>
      <w:pPr>
        <w:ind w:firstLine="560"/>
        <w:rPr>
          <w:rFonts w:cs="Times New Roman"/>
          <w:szCs w:val="28"/>
        </w:rPr>
      </w:pPr>
      <w:r>
        <w:rPr>
          <w:rFonts w:hint="eastAsia" w:cs="Times New Roman"/>
          <w:szCs w:val="28"/>
        </w:rPr>
        <w:t>主要设在保护区周界的交通路口、人为活动频繁区域、保护站、保护点、邻近村民点的边界线等地方。标示牌不锈钢材质，基础用C15砼浇注，基坑深0.9米。标示牌分别用中、英文书写湿地公园名称、保护管理规定与制度、批准机关、批准时间等。</w:t>
      </w:r>
    </w:p>
    <w:p>
      <w:pPr>
        <w:pStyle w:val="47"/>
        <w:numPr>
          <w:ilvl w:val="0"/>
          <w:numId w:val="55"/>
        </w:numPr>
        <w:ind w:firstLineChars="0"/>
        <w:rPr>
          <w:rFonts w:cs="Times New Roman"/>
          <w:szCs w:val="28"/>
        </w:rPr>
      </w:pPr>
      <w:r>
        <w:rPr>
          <w:rFonts w:hint="eastAsia" w:cs="Times New Roman"/>
          <w:szCs w:val="28"/>
        </w:rPr>
        <w:t>视频监控系统建设</w:t>
      </w:r>
    </w:p>
    <w:p>
      <w:pPr>
        <w:ind w:firstLine="560"/>
        <w:rPr>
          <w:rFonts w:cs="Times New Roman"/>
          <w:szCs w:val="28"/>
        </w:rPr>
      </w:pPr>
      <w:r>
        <w:rPr>
          <w:rFonts w:hint="eastAsia" w:cs="Times New Roman"/>
          <w:szCs w:val="28"/>
        </w:rPr>
        <w:t>为加强湿地公园内湿地资源的实时监管，尤其是对重要生境、重点保护鸟类的及时监控以及减少人为和不确定因素的干扰，规划新建湿地视频监控系统1套，主要包括前端监控系统、监控中心（中控室）、网络传输系统和湿地监测应用软件4部分。考虑到，仙阳湖已建设智慧水利河湖监控系统，在视频监控系统建设方案设计前，应与水利部门沟通衔接，共享前端监控系统数据。</w:t>
      </w:r>
    </w:p>
    <w:p>
      <w:pPr>
        <w:ind w:firstLine="560" w:firstLineChars="0"/>
        <w:rPr>
          <w:rFonts w:cs="Times New Roman"/>
          <w:szCs w:val="28"/>
        </w:rPr>
      </w:pPr>
      <w:r>
        <w:rPr>
          <w:rFonts w:hint="eastAsia" w:cs="Times New Roman"/>
          <w:szCs w:val="28"/>
        </w:rPr>
        <w:t>① 前端监控系统</w:t>
      </w:r>
    </w:p>
    <w:p>
      <w:pPr>
        <w:ind w:firstLine="560"/>
        <w:rPr>
          <w:rFonts w:cs="Times New Roman"/>
          <w:szCs w:val="28"/>
        </w:rPr>
      </w:pPr>
      <w:r>
        <w:rPr>
          <w:rFonts w:hint="eastAsia" w:cs="Times New Roman"/>
          <w:szCs w:val="28"/>
        </w:rPr>
        <w:t>前端监控点采用野外重载云台，配备电动可变长焦距镜头和低照度高清晰红外摄像机。根据仙阳湖国家湿地公园的地域情况及鸟类活动频繁的区域，拟设立10个鸟类监控点（长焦），设立20个人员重要活动区域监控点。监控视频信号采用数字化方式传输和存贮，便于网络传输。安装专用编解控制服务器（含预警平台），当监控摄像机发现目标（野生动物、行人、牲畜等）影像时，将目标视频图像通过专用编解控制服务器，经由信号传输网络设备将视频图像传输到监控中心，由值班人员确认位置，并采取应对措施。组网模式主要采用有线网络网桥的方式，各塔站安装带红外高清网络球型含云台摄像机，信号通过光缆传输给监控中心的主交换机。</w:t>
      </w:r>
    </w:p>
    <w:p>
      <w:pPr>
        <w:ind w:firstLine="560"/>
        <w:rPr>
          <w:rFonts w:cs="Times New Roman"/>
          <w:szCs w:val="28"/>
        </w:rPr>
      </w:pPr>
      <w:r>
        <w:rPr>
          <w:rFonts w:hint="eastAsia" w:cs="Times New Roman"/>
          <w:szCs w:val="28"/>
        </w:rPr>
        <w:t>② 监控中心（中控室）</w:t>
      </w:r>
    </w:p>
    <w:p>
      <w:pPr>
        <w:ind w:firstLine="560"/>
        <w:rPr>
          <w:rFonts w:cs="Times New Roman"/>
          <w:szCs w:val="28"/>
        </w:rPr>
      </w:pPr>
      <w:r>
        <w:rPr>
          <w:rFonts w:hint="eastAsia" w:cs="Times New Roman"/>
          <w:szCs w:val="28"/>
        </w:rPr>
        <w:t>在湿地公园管理处设立监控中心（中控室），作为系统信号的传输、切换、分配、控制中心，监控中心显示系统屏幕墙均可以实时显示前端监控点的图像；数字图像可以通过无线网络和计算机网络实现远程传输。监控中心采购设备包括监视器、数字硬盘录像机、网络控制键盘、管理服务器、数据库服务器、应用服务器、双联操作台、控制键盘、交换机、机柜等设备。</w:t>
      </w:r>
    </w:p>
    <w:p>
      <w:pPr>
        <w:ind w:firstLine="560"/>
        <w:rPr>
          <w:rFonts w:cs="Times New Roman"/>
          <w:szCs w:val="28"/>
        </w:rPr>
      </w:pPr>
      <w:r>
        <w:rPr>
          <w:rFonts w:hint="eastAsia" w:cs="Times New Roman"/>
          <w:szCs w:val="28"/>
        </w:rPr>
        <w:t>③ 湿地监测应用软件</w:t>
      </w:r>
    </w:p>
    <w:p>
      <w:pPr>
        <w:ind w:firstLine="560"/>
        <w:rPr>
          <w:rFonts w:cs="Times New Roman"/>
          <w:szCs w:val="28"/>
        </w:rPr>
      </w:pPr>
      <w:r>
        <w:rPr>
          <w:rFonts w:hint="eastAsia" w:cs="Times New Roman"/>
          <w:szCs w:val="28"/>
        </w:rPr>
        <w:t>包括基础数据的加工与集成、自动监控识别系统、湿地三维地理信息系统、湿地管护政务通系统、湿地公园日常办公系统等。此外，还应包括支持上述应用系统开发的平台软件建设，包括3S开发平台、操作系统平台、数据库平台等。</w:t>
      </w:r>
    </w:p>
    <w:p>
      <w:pPr>
        <w:pStyle w:val="47"/>
        <w:numPr>
          <w:ilvl w:val="0"/>
          <w:numId w:val="55"/>
        </w:numPr>
        <w:ind w:firstLineChars="0"/>
        <w:rPr>
          <w:rFonts w:cs="Times New Roman"/>
          <w:szCs w:val="28"/>
        </w:rPr>
      </w:pPr>
      <w:r>
        <w:rPr>
          <w:rFonts w:hint="eastAsia" w:cs="Times New Roman"/>
          <w:szCs w:val="28"/>
        </w:rPr>
        <w:t>管理机构建设</w:t>
      </w:r>
    </w:p>
    <w:p>
      <w:pPr>
        <w:ind w:firstLine="560"/>
        <w:rPr>
          <w:rFonts w:cs="Times New Roman"/>
          <w:szCs w:val="28"/>
        </w:rPr>
      </w:pPr>
      <w:r>
        <w:rPr>
          <w:rFonts w:hint="eastAsia" w:cs="Times New Roman"/>
          <w:szCs w:val="28"/>
        </w:rPr>
        <w:t>进一步健全仙阳湖国家湿地公园管理机</w:t>
      </w:r>
      <w:r>
        <w:rPr>
          <w:rFonts w:hint="eastAsia" w:ascii="仿宋" w:hAnsi="仿宋" w:cs="仿宋"/>
          <w:szCs w:val="28"/>
        </w:rPr>
        <w:t>构，配备“精干、高效、实用”的</w:t>
      </w:r>
      <w:r>
        <w:rPr>
          <w:rFonts w:hint="eastAsia" w:cs="Times New Roman"/>
          <w:szCs w:val="28"/>
        </w:rPr>
        <w:t>管理人员，明确职、责、权、利，构建高效工作机制、调动工作人员的积极性，不断提高管理机构对湿地公园的保护、管理、监督效率。重点作好以下工作：一是确保管理队伍稳定和财政投入稳定，确保湿地管理工作的长期有效开展；二是引进湿地保护与管理的专业人才，积极组织有关人员参加岗位和业务培训；三是建立健全各项规章制度，明确工作职责，促进湿地管理工作的规范化建设；四是加强管理机构基础设施建设，包括管理机构管理业务用房与必要的硬件建设。</w:t>
      </w:r>
    </w:p>
    <w:p>
      <w:pPr>
        <w:pStyle w:val="47"/>
        <w:numPr>
          <w:ilvl w:val="0"/>
          <w:numId w:val="55"/>
        </w:numPr>
        <w:ind w:firstLineChars="0"/>
        <w:rPr>
          <w:rFonts w:cs="Times New Roman"/>
          <w:szCs w:val="28"/>
        </w:rPr>
      </w:pPr>
      <w:r>
        <w:rPr>
          <w:rFonts w:hint="eastAsia" w:cs="Times New Roman"/>
          <w:szCs w:val="28"/>
        </w:rPr>
        <w:t>执法能力建设</w:t>
      </w:r>
    </w:p>
    <w:p>
      <w:pPr>
        <w:ind w:firstLine="560"/>
        <w:rPr>
          <w:rFonts w:cs="Times New Roman"/>
          <w:szCs w:val="28"/>
        </w:rPr>
      </w:pPr>
      <w:r>
        <w:rPr>
          <w:rFonts w:hint="eastAsia" w:cs="Times New Roman"/>
          <w:szCs w:val="28"/>
        </w:rPr>
        <w:t>依据湿地公园管理的法规，结合实际，立法制定《湖南石门仙阳湖国家湿地公园管理条例》，对湿地公园的发展研究、规划设计、项目建设、运营操作、管理监督、法律责任进行法制管理，做到有法可依，有章可循。并严格执行，同时在湿地公园内设置一定数量的警示标志，并组织工作人员巡逻检查，提高执法能力。规划每年对执法人员进行1～2次业务培训。</w:t>
      </w:r>
    </w:p>
    <w:p>
      <w:pPr>
        <w:pStyle w:val="47"/>
        <w:numPr>
          <w:ilvl w:val="0"/>
          <w:numId w:val="55"/>
        </w:numPr>
        <w:ind w:firstLineChars="0"/>
        <w:rPr>
          <w:rFonts w:cs="Times New Roman"/>
          <w:szCs w:val="28"/>
        </w:rPr>
      </w:pPr>
      <w:r>
        <w:rPr>
          <w:rFonts w:hint="eastAsia" w:cs="Times New Roman"/>
          <w:szCs w:val="28"/>
        </w:rPr>
        <w:t>管理队伍建设</w:t>
      </w:r>
    </w:p>
    <w:p>
      <w:pPr>
        <w:ind w:firstLine="560"/>
        <w:rPr>
          <w:rFonts w:cs="Times New Roman"/>
          <w:szCs w:val="28"/>
        </w:rPr>
      </w:pPr>
      <w:r>
        <w:rPr>
          <w:rFonts w:hint="eastAsia" w:cs="Times New Roman"/>
          <w:szCs w:val="28"/>
        </w:rPr>
        <w:t>规划每年对湿地公园管理队伍进行1～2次管理能力和技能培训，采取派往国内院校和科研单位进行短期培训或专业研修，赴国内外考察培训学习，以及与其它湿地保护单位间进行人员交流学习等形式，组织各种形式的岗前培训，如导游培训、安保人员培训、救生员培训等，不断增强湿地公园管理的基础性工作能力。</w:t>
      </w:r>
    </w:p>
    <w:p>
      <w:pPr>
        <w:pStyle w:val="6"/>
        <w:numPr>
          <w:ilvl w:val="2"/>
          <w:numId w:val="54"/>
        </w:numPr>
      </w:pPr>
      <w:bookmarkStart w:id="350" w:name="_Toc113925533"/>
      <w:bookmarkStart w:id="351" w:name="_Toc113925785"/>
      <w:r>
        <w:rPr>
          <w:rFonts w:hint="eastAsia"/>
        </w:rPr>
        <w:t>湿地文化保护规划</w:t>
      </w:r>
      <w:bookmarkEnd w:id="350"/>
      <w:bookmarkEnd w:id="351"/>
    </w:p>
    <w:p>
      <w:pPr>
        <w:pStyle w:val="47"/>
        <w:numPr>
          <w:ilvl w:val="0"/>
          <w:numId w:val="56"/>
        </w:numPr>
        <w:ind w:firstLineChars="0"/>
        <w:rPr>
          <w:rFonts w:cs="Times New Roman"/>
        </w:rPr>
      </w:pPr>
      <w:r>
        <w:rPr>
          <w:rFonts w:hint="eastAsia" w:cs="Times New Roman"/>
        </w:rPr>
        <w:t>仙阳湖文化的整理和保护</w:t>
      </w:r>
    </w:p>
    <w:p>
      <w:pPr>
        <w:ind w:firstLine="560"/>
        <w:rPr>
          <w:rFonts w:cs="Times New Roman"/>
        </w:rPr>
      </w:pPr>
      <w:r>
        <w:rPr>
          <w:rFonts w:hint="eastAsia" w:cs="Times New Roman"/>
        </w:rPr>
        <w:t>对涉及仙阳湖国家湿地公园及周边的历史文化资料等进行认真细致的调查整理，剖析其与湿地间的关系，增加仙阳湖古代文人的介绍展览，让仙阳湖文化有源可溯，运用文字及录音、录像等现代手段，进行全面的采录。</w:t>
      </w:r>
    </w:p>
    <w:p>
      <w:pPr>
        <w:pStyle w:val="47"/>
        <w:numPr>
          <w:ilvl w:val="0"/>
          <w:numId w:val="56"/>
        </w:numPr>
        <w:ind w:firstLineChars="0"/>
        <w:rPr>
          <w:rFonts w:cs="Times New Roman"/>
        </w:rPr>
      </w:pPr>
      <w:r>
        <w:rPr>
          <w:rFonts w:hint="eastAsia" w:cs="Times New Roman"/>
        </w:rPr>
        <w:t>举办湿地公园文化节</w:t>
      </w:r>
    </w:p>
    <w:p>
      <w:pPr>
        <w:ind w:firstLine="560"/>
        <w:rPr>
          <w:rFonts w:cs="Times New Roman"/>
          <w:highlight w:val="yellow"/>
        </w:rPr>
      </w:pPr>
      <w:r>
        <w:rPr>
          <w:rFonts w:hint="eastAsia" w:cs="Times New Roman"/>
        </w:rPr>
        <w:t>每年定期在湿地公园内举办湿地公园文化节，提高仙阳湖国家湿地公园的知名度和影响力。在湿地公园文化节期间，可以开展观鸟周或爱鸟周等活动吸引鸟类摄影爱好者；还可以邀请国内相关湿地专家开展专题讲座，向游人介绍湿地知识、鸟类知识等。</w:t>
      </w:r>
    </w:p>
    <w:p>
      <w:pPr>
        <w:widowControl/>
        <w:ind w:firstLine="560"/>
        <w:jc w:val="left"/>
        <w:rPr>
          <w:rFonts w:cs="Times New Roman"/>
        </w:rPr>
      </w:pPr>
      <w:r>
        <w:rPr>
          <w:rFonts w:cs="Times New Roman"/>
          <w:lang w:bidi="ar"/>
        </w:rPr>
        <w:t>以上规划内容见表6-1</w:t>
      </w:r>
      <w:r>
        <w:rPr>
          <w:rFonts w:hint="eastAsia" w:cs="Times New Roman"/>
          <w:lang w:bidi="ar"/>
        </w:rPr>
        <w:t>。</w:t>
      </w:r>
    </w:p>
    <w:p>
      <w:pPr>
        <w:pStyle w:val="14"/>
        <w:keepNext/>
        <w:spacing w:before="197" w:after="0" w:afterLines="0"/>
        <w:rPr>
          <w:rFonts w:ascii="黑体" w:hAnsi="黑体" w:cs="黑体"/>
          <w:sz w:val="24"/>
          <w:szCs w:val="24"/>
        </w:rPr>
      </w:pPr>
      <w:r>
        <w:rPr>
          <w:rFonts w:hint="eastAsia" w:ascii="黑体" w:hAnsi="黑体" w:cs="黑体"/>
          <w:sz w:val="24"/>
          <w:szCs w:val="24"/>
        </w:rPr>
        <w:t>仙阳湖国家湿地公园保护（恢复）规划建设内容汇总表</w:t>
      </w:r>
    </w:p>
    <w:p>
      <w:pPr>
        <w:spacing w:line="240" w:lineRule="auto"/>
        <w:ind w:firstLine="0" w:firstLineChars="0"/>
        <w:rPr>
          <w:rFonts w:cs="Times New Roman"/>
          <w:sz w:val="21"/>
          <w:szCs w:val="21"/>
        </w:rPr>
      </w:pPr>
      <w:r>
        <w:rPr>
          <w:rFonts w:hint="eastAsia" w:ascii="黑体" w:hAnsi="黑体" w:eastAsia="黑体" w:cs="黑体"/>
          <w:sz w:val="21"/>
          <w:szCs w:val="21"/>
        </w:rPr>
        <w:t>表</w:t>
      </w:r>
      <w:r>
        <w:rPr>
          <w:rFonts w:hint="eastAsia" w:cs="Times New Roman"/>
          <w:sz w:val="21"/>
          <w:szCs w:val="21"/>
        </w:rPr>
        <w:t xml:space="preserve"> </w:t>
      </w:r>
      <w:r>
        <w:rPr>
          <w:rFonts w:cs="Times New Roman"/>
          <w:sz w:val="21"/>
          <w:szCs w:val="21"/>
        </w:rPr>
        <w:fldChar w:fldCharType="begin"/>
      </w:r>
      <w:r>
        <w:rPr>
          <w:rFonts w:cs="Times New Roman"/>
          <w:sz w:val="21"/>
          <w:szCs w:val="21"/>
        </w:rPr>
        <w:instrText xml:space="preserve"> </w:instrText>
      </w:r>
      <w:r>
        <w:rPr>
          <w:rFonts w:hint="eastAsia" w:cs="Times New Roman"/>
          <w:sz w:val="21"/>
          <w:szCs w:val="21"/>
        </w:rPr>
        <w:instrText xml:space="preserve">STYLEREF 1 \s</w:instrText>
      </w:r>
      <w:r>
        <w:rPr>
          <w:rFonts w:cs="Times New Roman"/>
          <w:sz w:val="21"/>
          <w:szCs w:val="21"/>
        </w:rPr>
        <w:instrText xml:space="preserve"> </w:instrText>
      </w:r>
      <w:r>
        <w:rPr>
          <w:rFonts w:cs="Times New Roman"/>
          <w:sz w:val="21"/>
          <w:szCs w:val="21"/>
        </w:rPr>
        <w:fldChar w:fldCharType="separate"/>
      </w:r>
      <w:r>
        <w:rPr>
          <w:rFonts w:cs="Times New Roman"/>
          <w:sz w:val="21"/>
          <w:szCs w:val="21"/>
        </w:rPr>
        <w:t>6</w:t>
      </w:r>
      <w:r>
        <w:rPr>
          <w:rFonts w:cs="Times New Roman"/>
          <w:sz w:val="21"/>
          <w:szCs w:val="21"/>
        </w:rPr>
        <w:fldChar w:fldCharType="end"/>
      </w:r>
      <w:r>
        <w:rPr>
          <w:rFonts w:cs="Times New Roman"/>
          <w:sz w:val="21"/>
          <w:szCs w:val="21"/>
        </w:rPr>
        <w:t>-</w:t>
      </w:r>
      <w:r>
        <w:rPr>
          <w:rFonts w:cs="Times New Roman"/>
          <w:sz w:val="21"/>
          <w:szCs w:val="21"/>
        </w:rPr>
        <w:fldChar w:fldCharType="begin"/>
      </w:r>
      <w:r>
        <w:rPr>
          <w:rFonts w:cs="Times New Roman"/>
          <w:sz w:val="21"/>
          <w:szCs w:val="21"/>
        </w:rPr>
        <w:instrText xml:space="preserve"> </w:instrText>
      </w:r>
      <w:r>
        <w:rPr>
          <w:rFonts w:hint="eastAsia" w:cs="Times New Roman"/>
          <w:sz w:val="21"/>
          <w:szCs w:val="21"/>
        </w:rPr>
        <w:instrText xml:space="preserve">SEQ 表 \* ARABIC \s 1</w:instrText>
      </w:r>
      <w:r>
        <w:rPr>
          <w:rFonts w:cs="Times New Roman"/>
          <w:sz w:val="21"/>
          <w:szCs w:val="21"/>
        </w:rPr>
        <w:instrText xml:space="preserve"> </w:instrText>
      </w:r>
      <w:r>
        <w:rPr>
          <w:rFonts w:cs="Times New Roman"/>
          <w:sz w:val="21"/>
          <w:szCs w:val="21"/>
        </w:rPr>
        <w:fldChar w:fldCharType="separate"/>
      </w:r>
      <w:r>
        <w:rPr>
          <w:rFonts w:cs="Times New Roman"/>
          <w:sz w:val="21"/>
          <w:szCs w:val="21"/>
        </w:rPr>
        <w:t>1</w:t>
      </w:r>
      <w:r>
        <w:rPr>
          <w:rFonts w:cs="Times New Roman"/>
          <w:sz w:val="21"/>
          <w:szCs w:val="21"/>
        </w:rPr>
        <w:fldChar w:fldCharType="end"/>
      </w:r>
      <w:r>
        <w:rPr>
          <w:rFonts w:cs="Times New Roman"/>
          <w:sz w:val="21"/>
          <w:szCs w:val="21"/>
        </w:rPr>
        <w:t xml:space="preserve"> </w:t>
      </w:r>
    </w:p>
    <w:tbl>
      <w:tblPr>
        <w:tblStyle w:val="33"/>
        <w:tblW w:w="8810" w:type="dxa"/>
        <w:tblInd w:w="10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
        <w:gridCol w:w="1050"/>
        <w:gridCol w:w="960"/>
        <w:gridCol w:w="8"/>
        <w:gridCol w:w="1762"/>
        <w:gridCol w:w="750"/>
        <w:gridCol w:w="730"/>
        <w:gridCol w:w="1459"/>
        <w:gridCol w:w="691"/>
        <w:gridCol w:w="6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710" w:type="dxa"/>
            <w:vMerge w:val="restart"/>
            <w:vAlign w:val="center"/>
          </w:tcPr>
          <w:p>
            <w:pPr>
              <w:pStyle w:val="44"/>
              <w:rPr>
                <w:rFonts w:eastAsia="仿宋" w:cs="Times New Roman"/>
                <w:szCs w:val="21"/>
              </w:rPr>
            </w:pPr>
            <w:r>
              <w:rPr>
                <w:rFonts w:hint="eastAsia" w:eastAsia="仿宋" w:cs="Times New Roman"/>
                <w:szCs w:val="21"/>
              </w:rPr>
              <w:t>序号</w:t>
            </w:r>
          </w:p>
        </w:tc>
        <w:tc>
          <w:tcPr>
            <w:tcW w:w="3780" w:type="dxa"/>
            <w:gridSpan w:val="4"/>
            <w:vMerge w:val="restart"/>
            <w:vAlign w:val="center"/>
          </w:tcPr>
          <w:p>
            <w:pPr>
              <w:pStyle w:val="44"/>
              <w:rPr>
                <w:rFonts w:eastAsia="仿宋" w:cs="Times New Roman"/>
                <w:szCs w:val="21"/>
              </w:rPr>
            </w:pPr>
            <w:r>
              <w:rPr>
                <w:rFonts w:hint="eastAsia" w:eastAsia="仿宋" w:cs="Times New Roman"/>
                <w:szCs w:val="21"/>
              </w:rPr>
              <w:t>建设内容</w:t>
            </w:r>
          </w:p>
        </w:tc>
        <w:tc>
          <w:tcPr>
            <w:tcW w:w="1480" w:type="dxa"/>
            <w:gridSpan w:val="2"/>
            <w:vAlign w:val="center"/>
          </w:tcPr>
          <w:p>
            <w:pPr>
              <w:pStyle w:val="44"/>
              <w:rPr>
                <w:rFonts w:eastAsia="仿宋" w:cs="Times New Roman"/>
                <w:szCs w:val="21"/>
              </w:rPr>
            </w:pPr>
            <w:r>
              <w:rPr>
                <w:rFonts w:hint="eastAsia" w:eastAsia="仿宋" w:cs="Times New Roman"/>
                <w:szCs w:val="21"/>
              </w:rPr>
              <w:t>建设规模</w:t>
            </w:r>
          </w:p>
        </w:tc>
        <w:tc>
          <w:tcPr>
            <w:tcW w:w="1459" w:type="dxa"/>
            <w:vMerge w:val="restart"/>
            <w:vAlign w:val="center"/>
          </w:tcPr>
          <w:p>
            <w:pPr>
              <w:pStyle w:val="44"/>
              <w:rPr>
                <w:rFonts w:eastAsia="仿宋" w:cs="Times New Roman"/>
                <w:szCs w:val="21"/>
              </w:rPr>
            </w:pPr>
            <w:r>
              <w:rPr>
                <w:rFonts w:hint="eastAsia" w:eastAsia="仿宋" w:cs="Times New Roman"/>
                <w:szCs w:val="21"/>
              </w:rPr>
              <w:t>建设地点</w:t>
            </w:r>
          </w:p>
        </w:tc>
        <w:tc>
          <w:tcPr>
            <w:tcW w:w="1381" w:type="dxa"/>
            <w:gridSpan w:val="2"/>
            <w:vAlign w:val="center"/>
          </w:tcPr>
          <w:p>
            <w:pPr>
              <w:pStyle w:val="44"/>
              <w:rPr>
                <w:rFonts w:eastAsia="仿宋" w:cs="Times New Roman"/>
                <w:szCs w:val="21"/>
              </w:rPr>
            </w:pPr>
            <w:r>
              <w:rPr>
                <w:rFonts w:hint="eastAsia" w:eastAsia="仿宋" w:cs="Times New Roman"/>
                <w:szCs w:val="21"/>
              </w:rPr>
              <w:t>建设期限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710" w:type="dxa"/>
            <w:vMerge w:val="continue"/>
            <w:vAlign w:val="center"/>
          </w:tcPr>
          <w:p>
            <w:pPr>
              <w:pStyle w:val="44"/>
              <w:rPr>
                <w:rFonts w:eastAsia="仿宋" w:cs="Times New Roman"/>
                <w:szCs w:val="21"/>
              </w:rPr>
            </w:pPr>
          </w:p>
        </w:tc>
        <w:tc>
          <w:tcPr>
            <w:tcW w:w="3780" w:type="dxa"/>
            <w:gridSpan w:val="4"/>
            <w:vMerge w:val="continue"/>
            <w:vAlign w:val="center"/>
          </w:tcPr>
          <w:p>
            <w:pPr>
              <w:pStyle w:val="44"/>
              <w:rPr>
                <w:rFonts w:eastAsia="仿宋" w:cs="Times New Roman"/>
                <w:szCs w:val="21"/>
              </w:rPr>
            </w:pPr>
          </w:p>
        </w:tc>
        <w:tc>
          <w:tcPr>
            <w:tcW w:w="750" w:type="dxa"/>
            <w:vAlign w:val="center"/>
          </w:tcPr>
          <w:p>
            <w:pPr>
              <w:pStyle w:val="44"/>
              <w:rPr>
                <w:rFonts w:eastAsia="仿宋" w:cs="Times New Roman"/>
                <w:szCs w:val="21"/>
              </w:rPr>
            </w:pPr>
            <w:r>
              <w:rPr>
                <w:rFonts w:hint="eastAsia" w:eastAsia="仿宋" w:cs="Times New Roman"/>
                <w:szCs w:val="21"/>
              </w:rPr>
              <w:t>单位</w:t>
            </w:r>
          </w:p>
        </w:tc>
        <w:tc>
          <w:tcPr>
            <w:tcW w:w="730" w:type="dxa"/>
            <w:vAlign w:val="center"/>
          </w:tcPr>
          <w:p>
            <w:pPr>
              <w:pStyle w:val="44"/>
              <w:rPr>
                <w:rFonts w:eastAsia="仿宋" w:cs="Times New Roman"/>
                <w:szCs w:val="21"/>
              </w:rPr>
            </w:pPr>
            <w:r>
              <w:rPr>
                <w:rFonts w:hint="eastAsia" w:eastAsia="仿宋" w:cs="Times New Roman"/>
                <w:szCs w:val="21"/>
              </w:rPr>
              <w:t>数量</w:t>
            </w:r>
          </w:p>
        </w:tc>
        <w:tc>
          <w:tcPr>
            <w:tcW w:w="1459" w:type="dxa"/>
            <w:vMerge w:val="continue"/>
            <w:vAlign w:val="center"/>
          </w:tcPr>
          <w:p>
            <w:pPr>
              <w:pStyle w:val="44"/>
              <w:rPr>
                <w:rFonts w:eastAsia="仿宋" w:cs="Times New Roman"/>
                <w:szCs w:val="21"/>
              </w:rPr>
            </w:pPr>
          </w:p>
        </w:tc>
        <w:tc>
          <w:tcPr>
            <w:tcW w:w="691" w:type="dxa"/>
            <w:vAlign w:val="center"/>
          </w:tcPr>
          <w:p>
            <w:pPr>
              <w:pStyle w:val="44"/>
              <w:rPr>
                <w:rFonts w:eastAsia="仿宋" w:cs="Times New Roman"/>
                <w:szCs w:val="21"/>
              </w:rPr>
            </w:pPr>
            <w:r>
              <w:rPr>
                <w:rFonts w:hint="eastAsia" w:eastAsia="仿宋" w:cs="Times New Roman"/>
                <w:szCs w:val="21"/>
              </w:rPr>
              <w:t>前期</w:t>
            </w:r>
          </w:p>
        </w:tc>
        <w:tc>
          <w:tcPr>
            <w:tcW w:w="690" w:type="dxa"/>
            <w:vAlign w:val="center"/>
          </w:tcPr>
          <w:p>
            <w:pPr>
              <w:pStyle w:val="44"/>
              <w:rPr>
                <w:rFonts w:eastAsia="仿宋" w:cs="Times New Roman"/>
                <w:szCs w:val="21"/>
              </w:rPr>
            </w:pPr>
            <w:r>
              <w:rPr>
                <w:rFonts w:hint="eastAsia" w:eastAsia="仿宋" w:cs="Times New Roman"/>
                <w:szCs w:val="21"/>
              </w:rPr>
              <w:t>后期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restart"/>
            <w:vAlign w:val="center"/>
          </w:tcPr>
          <w:p>
            <w:pPr>
              <w:pStyle w:val="45"/>
              <w:rPr>
                <w:rFonts w:eastAsia="仿宋" w:cs="Times New Roman"/>
                <w:sz w:val="21"/>
                <w:szCs w:val="21"/>
              </w:rPr>
            </w:pPr>
            <w:r>
              <w:rPr>
                <w:rFonts w:eastAsia="仿宋" w:cs="Times New Roman"/>
                <w:sz w:val="21"/>
                <w:szCs w:val="21"/>
              </w:rPr>
              <w:t>1</w:t>
            </w:r>
          </w:p>
        </w:tc>
        <w:tc>
          <w:tcPr>
            <w:tcW w:w="1050" w:type="dxa"/>
            <w:vMerge w:val="restart"/>
            <w:vAlign w:val="center"/>
          </w:tcPr>
          <w:p>
            <w:pPr>
              <w:pStyle w:val="45"/>
              <w:rPr>
                <w:rFonts w:eastAsia="仿宋" w:cs="Times New Roman"/>
                <w:sz w:val="21"/>
                <w:szCs w:val="21"/>
              </w:rPr>
            </w:pPr>
            <w:r>
              <w:rPr>
                <w:rFonts w:hint="eastAsia" w:eastAsia="仿宋" w:cs="Times New Roman"/>
                <w:sz w:val="21"/>
                <w:szCs w:val="21"/>
              </w:rPr>
              <w:t>水系和水资源保护(恢复)规划</w:t>
            </w:r>
          </w:p>
        </w:tc>
        <w:tc>
          <w:tcPr>
            <w:tcW w:w="960" w:type="dxa"/>
            <w:vAlign w:val="center"/>
          </w:tcPr>
          <w:p>
            <w:pPr>
              <w:pStyle w:val="45"/>
              <w:rPr>
                <w:rFonts w:eastAsia="仿宋" w:cs="Times New Roman"/>
                <w:sz w:val="21"/>
                <w:szCs w:val="21"/>
              </w:rPr>
            </w:pPr>
            <w:r>
              <w:rPr>
                <w:rFonts w:hint="eastAsia" w:eastAsia="仿宋" w:cs="Times New Roman"/>
                <w:sz w:val="21"/>
                <w:szCs w:val="21"/>
              </w:rPr>
              <w:t>水源保护工程</w:t>
            </w:r>
          </w:p>
        </w:tc>
        <w:tc>
          <w:tcPr>
            <w:tcW w:w="1770" w:type="dxa"/>
            <w:gridSpan w:val="2"/>
            <w:vAlign w:val="center"/>
          </w:tcPr>
          <w:p>
            <w:pPr>
              <w:pStyle w:val="45"/>
              <w:rPr>
                <w:rFonts w:eastAsia="仿宋" w:cs="Times New Roman"/>
                <w:sz w:val="21"/>
                <w:szCs w:val="21"/>
              </w:rPr>
            </w:pPr>
            <w:r>
              <w:rPr>
                <w:rFonts w:hint="eastAsia" w:eastAsia="仿宋" w:cs="Times New Roman"/>
                <w:sz w:val="21"/>
                <w:szCs w:val="21"/>
              </w:rPr>
              <w:t>水源涵养林、护岸林建设和保护</w:t>
            </w:r>
          </w:p>
        </w:tc>
        <w:tc>
          <w:tcPr>
            <w:tcW w:w="750" w:type="dxa"/>
            <w:vAlign w:val="center"/>
          </w:tcPr>
          <w:p>
            <w:pPr>
              <w:pStyle w:val="45"/>
              <w:rPr>
                <w:rFonts w:eastAsia="仿宋" w:cs="Times New Roman"/>
                <w:sz w:val="21"/>
                <w:szCs w:val="21"/>
              </w:rPr>
            </w:pPr>
            <w:r>
              <w:rPr>
                <w:rFonts w:hint="eastAsia" w:eastAsia="仿宋" w:cs="Times New Roman"/>
                <w:sz w:val="21"/>
                <w:szCs w:val="21"/>
              </w:rPr>
              <w:t>公顷</w:t>
            </w:r>
          </w:p>
        </w:tc>
        <w:tc>
          <w:tcPr>
            <w:tcW w:w="730" w:type="dxa"/>
            <w:vAlign w:val="center"/>
          </w:tcPr>
          <w:p>
            <w:pPr>
              <w:pStyle w:val="45"/>
              <w:rPr>
                <w:rFonts w:eastAsia="仿宋" w:cs="Times New Roman"/>
                <w:sz w:val="21"/>
                <w:szCs w:val="21"/>
              </w:rPr>
            </w:pPr>
            <w:r>
              <w:rPr>
                <w:rFonts w:hint="eastAsia" w:eastAsia="仿宋" w:cs="Times New Roman"/>
                <w:sz w:val="21"/>
                <w:szCs w:val="21"/>
              </w:rPr>
              <w:t>10</w:t>
            </w:r>
            <w:r>
              <w:rPr>
                <w:rFonts w:eastAsia="仿宋" w:cs="Times New Roman"/>
                <w:sz w:val="21"/>
                <w:szCs w:val="21"/>
              </w:rPr>
              <w:t>00</w:t>
            </w:r>
          </w:p>
        </w:tc>
        <w:tc>
          <w:tcPr>
            <w:tcW w:w="1459" w:type="dxa"/>
            <w:vAlign w:val="center"/>
          </w:tcPr>
          <w:p>
            <w:pPr>
              <w:pStyle w:val="45"/>
              <w:rPr>
                <w:rFonts w:eastAsia="仿宋" w:cs="Times New Roman"/>
                <w:sz w:val="21"/>
                <w:szCs w:val="21"/>
              </w:rPr>
            </w:pPr>
            <w:r>
              <w:rPr>
                <w:rFonts w:hint="eastAsia" w:eastAsia="仿宋" w:cs="Times New Roman"/>
                <w:sz w:val="21"/>
                <w:szCs w:val="21"/>
              </w:rPr>
              <w:t>仙阳湖、渫水两岸</w:t>
            </w: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6"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960" w:type="dxa"/>
            <w:vAlign w:val="center"/>
          </w:tcPr>
          <w:p>
            <w:pPr>
              <w:pStyle w:val="45"/>
              <w:rPr>
                <w:rFonts w:eastAsia="仿宋" w:cs="Times New Roman"/>
                <w:sz w:val="21"/>
                <w:szCs w:val="21"/>
              </w:rPr>
            </w:pPr>
            <w:r>
              <w:rPr>
                <w:rFonts w:hint="eastAsia" w:eastAsia="仿宋" w:cs="Times New Roman"/>
                <w:sz w:val="21"/>
                <w:szCs w:val="21"/>
              </w:rPr>
              <w:t>水系连通工程</w:t>
            </w:r>
          </w:p>
        </w:tc>
        <w:tc>
          <w:tcPr>
            <w:tcW w:w="1770" w:type="dxa"/>
            <w:gridSpan w:val="2"/>
            <w:vAlign w:val="center"/>
          </w:tcPr>
          <w:p>
            <w:pPr>
              <w:pStyle w:val="45"/>
              <w:rPr>
                <w:rFonts w:eastAsia="仿宋" w:cs="Times New Roman"/>
                <w:sz w:val="21"/>
                <w:szCs w:val="21"/>
              </w:rPr>
            </w:pPr>
            <w:r>
              <w:rPr>
                <w:rFonts w:hint="eastAsia" w:eastAsia="仿宋" w:cs="Times New Roman"/>
                <w:sz w:val="21"/>
                <w:szCs w:val="21"/>
              </w:rPr>
              <w:t>生态疏浚</w:t>
            </w:r>
          </w:p>
        </w:tc>
        <w:tc>
          <w:tcPr>
            <w:tcW w:w="750" w:type="dxa"/>
            <w:vAlign w:val="center"/>
          </w:tcPr>
          <w:p>
            <w:pPr>
              <w:pStyle w:val="45"/>
              <w:rPr>
                <w:rFonts w:eastAsia="仿宋" w:cs="Times New Roman"/>
                <w:sz w:val="21"/>
                <w:szCs w:val="21"/>
              </w:rPr>
            </w:pPr>
            <w:r>
              <w:rPr>
                <w:rFonts w:hint="eastAsia" w:eastAsia="仿宋" w:cs="Times New Roman"/>
                <w:sz w:val="21"/>
                <w:szCs w:val="21"/>
              </w:rPr>
              <w:t>公里</w:t>
            </w:r>
          </w:p>
        </w:tc>
        <w:tc>
          <w:tcPr>
            <w:tcW w:w="730" w:type="dxa"/>
            <w:vAlign w:val="center"/>
          </w:tcPr>
          <w:p>
            <w:pPr>
              <w:pStyle w:val="45"/>
              <w:rPr>
                <w:rFonts w:eastAsia="仿宋" w:cs="Times New Roman"/>
                <w:sz w:val="21"/>
                <w:szCs w:val="21"/>
              </w:rPr>
            </w:pPr>
            <w:r>
              <w:rPr>
                <w:rFonts w:hint="eastAsia" w:eastAsia="仿宋" w:cs="Times New Roman"/>
                <w:sz w:val="21"/>
                <w:szCs w:val="21"/>
              </w:rPr>
              <w:t>66.8</w:t>
            </w:r>
          </w:p>
        </w:tc>
        <w:tc>
          <w:tcPr>
            <w:tcW w:w="1459" w:type="dxa"/>
            <w:vAlign w:val="center"/>
          </w:tcPr>
          <w:p>
            <w:pPr>
              <w:pStyle w:val="45"/>
              <w:rPr>
                <w:rFonts w:eastAsia="仿宋" w:cs="Times New Roman"/>
                <w:sz w:val="21"/>
                <w:szCs w:val="21"/>
              </w:rPr>
            </w:pPr>
            <w:r>
              <w:rPr>
                <w:rFonts w:hint="eastAsia" w:eastAsia="仿宋" w:cs="Times New Roman"/>
                <w:sz w:val="21"/>
                <w:szCs w:val="21"/>
              </w:rPr>
              <w:t>磨市段、龙王洞段、维新段和雁池段等</w:t>
            </w: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restart"/>
            <w:vAlign w:val="center"/>
          </w:tcPr>
          <w:p>
            <w:pPr>
              <w:pStyle w:val="45"/>
              <w:rPr>
                <w:rFonts w:eastAsia="仿宋" w:cs="Times New Roman"/>
                <w:sz w:val="21"/>
                <w:szCs w:val="21"/>
              </w:rPr>
            </w:pPr>
            <w:r>
              <w:rPr>
                <w:rFonts w:eastAsia="仿宋" w:cs="Times New Roman"/>
                <w:sz w:val="21"/>
                <w:szCs w:val="21"/>
              </w:rPr>
              <w:t>2</w:t>
            </w:r>
          </w:p>
        </w:tc>
        <w:tc>
          <w:tcPr>
            <w:tcW w:w="1050" w:type="dxa"/>
            <w:vMerge w:val="restart"/>
            <w:vAlign w:val="center"/>
          </w:tcPr>
          <w:p>
            <w:pPr>
              <w:pStyle w:val="45"/>
              <w:rPr>
                <w:rFonts w:eastAsia="仿宋" w:cs="Times New Roman"/>
                <w:sz w:val="21"/>
                <w:szCs w:val="21"/>
              </w:rPr>
            </w:pPr>
            <w:r>
              <w:rPr>
                <w:rFonts w:hint="eastAsia" w:eastAsia="仿宋" w:cs="Times New Roman"/>
                <w:sz w:val="21"/>
                <w:szCs w:val="21"/>
              </w:rPr>
              <w:t>水质保护(恢复)规划</w:t>
            </w:r>
          </w:p>
        </w:tc>
        <w:tc>
          <w:tcPr>
            <w:tcW w:w="960" w:type="dxa"/>
            <w:vMerge w:val="restart"/>
            <w:vAlign w:val="center"/>
          </w:tcPr>
          <w:p>
            <w:pPr>
              <w:pStyle w:val="45"/>
              <w:rPr>
                <w:rFonts w:eastAsia="仿宋" w:cs="Times New Roman"/>
                <w:sz w:val="21"/>
                <w:szCs w:val="21"/>
              </w:rPr>
            </w:pPr>
            <w:r>
              <w:rPr>
                <w:rFonts w:hint="eastAsia" w:eastAsia="仿宋" w:cs="Times New Roman"/>
                <w:sz w:val="21"/>
                <w:szCs w:val="21"/>
              </w:rPr>
              <w:t>废弃物集中清理</w:t>
            </w:r>
          </w:p>
        </w:tc>
        <w:tc>
          <w:tcPr>
            <w:tcW w:w="1770" w:type="dxa"/>
            <w:gridSpan w:val="2"/>
            <w:vAlign w:val="center"/>
          </w:tcPr>
          <w:p>
            <w:pPr>
              <w:pStyle w:val="45"/>
              <w:rPr>
                <w:rFonts w:eastAsia="仿宋" w:cs="Times New Roman"/>
                <w:sz w:val="21"/>
                <w:szCs w:val="21"/>
              </w:rPr>
            </w:pPr>
            <w:r>
              <w:rPr>
                <w:rFonts w:hint="eastAsia" w:eastAsia="仿宋" w:cs="Times New Roman"/>
                <w:sz w:val="21"/>
                <w:szCs w:val="21"/>
              </w:rPr>
              <w:t>废弃物集中清理</w:t>
            </w:r>
          </w:p>
        </w:tc>
        <w:tc>
          <w:tcPr>
            <w:tcW w:w="750" w:type="dxa"/>
            <w:vAlign w:val="center"/>
          </w:tcPr>
          <w:p>
            <w:pPr>
              <w:pStyle w:val="45"/>
              <w:rPr>
                <w:rFonts w:eastAsia="仿宋" w:cs="Times New Roman"/>
                <w:sz w:val="21"/>
                <w:szCs w:val="21"/>
              </w:rPr>
            </w:pPr>
            <w:r>
              <w:rPr>
                <w:rFonts w:hint="eastAsia" w:eastAsia="仿宋" w:cs="Times New Roman"/>
                <w:sz w:val="21"/>
                <w:szCs w:val="21"/>
              </w:rPr>
              <w:t>项</w:t>
            </w:r>
          </w:p>
        </w:tc>
        <w:tc>
          <w:tcPr>
            <w:tcW w:w="730" w:type="dxa"/>
            <w:vAlign w:val="center"/>
          </w:tcPr>
          <w:p>
            <w:pPr>
              <w:pStyle w:val="45"/>
              <w:rPr>
                <w:rFonts w:eastAsia="仿宋" w:cs="Times New Roman"/>
                <w:sz w:val="21"/>
                <w:szCs w:val="21"/>
              </w:rPr>
            </w:pPr>
            <w:r>
              <w:rPr>
                <w:rFonts w:eastAsia="仿宋" w:cs="Times New Roman"/>
                <w:sz w:val="21"/>
                <w:szCs w:val="21"/>
              </w:rPr>
              <w:t>1</w:t>
            </w:r>
          </w:p>
        </w:tc>
        <w:tc>
          <w:tcPr>
            <w:tcW w:w="1459" w:type="dxa"/>
            <w:vAlign w:val="center"/>
          </w:tcPr>
          <w:p>
            <w:pPr>
              <w:pStyle w:val="45"/>
              <w:rPr>
                <w:rFonts w:eastAsia="仿宋" w:cs="Times New Roman"/>
                <w:sz w:val="21"/>
                <w:szCs w:val="21"/>
              </w:rPr>
            </w:pPr>
            <w:r>
              <w:rPr>
                <w:rFonts w:hint="eastAsia" w:eastAsia="仿宋" w:cs="Times New Roman"/>
                <w:sz w:val="21"/>
                <w:szCs w:val="21"/>
              </w:rPr>
              <w:t>仙阳湖、周边村庄</w:t>
            </w: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960" w:type="dxa"/>
            <w:vMerge w:val="continue"/>
            <w:vAlign w:val="center"/>
          </w:tcPr>
          <w:p>
            <w:pPr>
              <w:pStyle w:val="45"/>
              <w:rPr>
                <w:rFonts w:eastAsia="仿宋" w:cs="Times New Roman"/>
                <w:sz w:val="21"/>
                <w:szCs w:val="21"/>
              </w:rPr>
            </w:pPr>
          </w:p>
        </w:tc>
        <w:tc>
          <w:tcPr>
            <w:tcW w:w="1770" w:type="dxa"/>
            <w:gridSpan w:val="2"/>
            <w:vAlign w:val="center"/>
          </w:tcPr>
          <w:p>
            <w:pPr>
              <w:pStyle w:val="45"/>
              <w:rPr>
                <w:rFonts w:eastAsia="仿宋" w:cs="Times New Roman"/>
                <w:sz w:val="21"/>
                <w:szCs w:val="21"/>
              </w:rPr>
            </w:pPr>
            <w:r>
              <w:rPr>
                <w:rFonts w:hint="eastAsia" w:eastAsia="仿宋" w:cs="Times New Roman"/>
                <w:sz w:val="21"/>
                <w:szCs w:val="21"/>
              </w:rPr>
              <w:t>打捞船（含设备）</w:t>
            </w:r>
          </w:p>
        </w:tc>
        <w:tc>
          <w:tcPr>
            <w:tcW w:w="750" w:type="dxa"/>
            <w:vAlign w:val="center"/>
          </w:tcPr>
          <w:p>
            <w:pPr>
              <w:pStyle w:val="45"/>
              <w:rPr>
                <w:rFonts w:eastAsia="仿宋" w:cs="Times New Roman"/>
                <w:sz w:val="21"/>
                <w:szCs w:val="21"/>
              </w:rPr>
            </w:pPr>
            <w:r>
              <w:rPr>
                <w:rFonts w:hint="eastAsia" w:eastAsia="仿宋" w:cs="Times New Roman"/>
                <w:sz w:val="21"/>
                <w:szCs w:val="21"/>
              </w:rPr>
              <w:t>套</w:t>
            </w:r>
          </w:p>
        </w:tc>
        <w:tc>
          <w:tcPr>
            <w:tcW w:w="730" w:type="dxa"/>
            <w:vAlign w:val="center"/>
          </w:tcPr>
          <w:p>
            <w:pPr>
              <w:pStyle w:val="45"/>
              <w:rPr>
                <w:rFonts w:eastAsia="仿宋" w:cs="Times New Roman"/>
                <w:sz w:val="21"/>
                <w:szCs w:val="21"/>
              </w:rPr>
            </w:pPr>
            <w:r>
              <w:rPr>
                <w:rFonts w:eastAsia="仿宋" w:cs="Times New Roman"/>
                <w:sz w:val="21"/>
                <w:szCs w:val="21"/>
              </w:rPr>
              <w:t>4</w:t>
            </w:r>
          </w:p>
        </w:tc>
        <w:tc>
          <w:tcPr>
            <w:tcW w:w="1459" w:type="dxa"/>
            <w:vAlign w:val="center"/>
          </w:tcPr>
          <w:p>
            <w:pPr>
              <w:pStyle w:val="45"/>
              <w:rPr>
                <w:rFonts w:eastAsia="仿宋" w:cs="Times New Roman"/>
                <w:sz w:val="21"/>
                <w:szCs w:val="21"/>
              </w:rPr>
            </w:pP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960" w:type="dxa"/>
            <w:vMerge w:val="restart"/>
            <w:vAlign w:val="center"/>
          </w:tcPr>
          <w:p>
            <w:pPr>
              <w:pStyle w:val="45"/>
              <w:rPr>
                <w:rFonts w:eastAsia="仿宋" w:cs="Times New Roman"/>
                <w:sz w:val="21"/>
                <w:szCs w:val="21"/>
              </w:rPr>
            </w:pPr>
            <w:r>
              <w:rPr>
                <w:rFonts w:hint="eastAsia" w:eastAsia="仿宋" w:cs="Times New Roman"/>
                <w:sz w:val="21"/>
                <w:szCs w:val="21"/>
              </w:rPr>
              <w:t>农村生活垃圾防治与处理</w:t>
            </w:r>
          </w:p>
        </w:tc>
        <w:tc>
          <w:tcPr>
            <w:tcW w:w="1770" w:type="dxa"/>
            <w:gridSpan w:val="2"/>
            <w:vAlign w:val="center"/>
          </w:tcPr>
          <w:p>
            <w:pPr>
              <w:pStyle w:val="45"/>
              <w:rPr>
                <w:rFonts w:eastAsia="仿宋" w:cs="Times New Roman"/>
                <w:sz w:val="21"/>
                <w:szCs w:val="21"/>
              </w:rPr>
            </w:pPr>
            <w:r>
              <w:rPr>
                <w:rFonts w:hint="eastAsia" w:eastAsia="仿宋" w:cs="Times New Roman"/>
                <w:sz w:val="21"/>
                <w:szCs w:val="21"/>
              </w:rPr>
              <w:t>垃圾处理池</w:t>
            </w:r>
          </w:p>
        </w:tc>
        <w:tc>
          <w:tcPr>
            <w:tcW w:w="750" w:type="dxa"/>
            <w:vAlign w:val="center"/>
          </w:tcPr>
          <w:p>
            <w:pPr>
              <w:pStyle w:val="45"/>
              <w:rPr>
                <w:rFonts w:eastAsia="仿宋" w:cs="Times New Roman"/>
                <w:sz w:val="21"/>
                <w:szCs w:val="21"/>
              </w:rPr>
            </w:pPr>
            <w:r>
              <w:rPr>
                <w:rFonts w:hint="eastAsia" w:eastAsia="仿宋" w:cs="Times New Roman"/>
                <w:sz w:val="21"/>
                <w:szCs w:val="21"/>
              </w:rPr>
              <w:t>处</w:t>
            </w:r>
          </w:p>
        </w:tc>
        <w:tc>
          <w:tcPr>
            <w:tcW w:w="730" w:type="dxa"/>
            <w:vAlign w:val="center"/>
          </w:tcPr>
          <w:p>
            <w:pPr>
              <w:pStyle w:val="45"/>
              <w:rPr>
                <w:rFonts w:eastAsia="仿宋" w:cs="Times New Roman"/>
                <w:sz w:val="21"/>
                <w:szCs w:val="21"/>
              </w:rPr>
            </w:pPr>
            <w:r>
              <w:rPr>
                <w:rFonts w:eastAsia="仿宋" w:cs="Times New Roman"/>
                <w:sz w:val="21"/>
                <w:szCs w:val="21"/>
              </w:rPr>
              <w:t>3</w:t>
            </w:r>
            <w:r>
              <w:rPr>
                <w:rFonts w:hint="eastAsia" w:eastAsia="仿宋" w:cs="Times New Roman"/>
                <w:sz w:val="21"/>
                <w:szCs w:val="21"/>
              </w:rPr>
              <w:t>9</w:t>
            </w:r>
          </w:p>
        </w:tc>
        <w:tc>
          <w:tcPr>
            <w:tcW w:w="1459" w:type="dxa"/>
            <w:vAlign w:val="center"/>
          </w:tcPr>
          <w:p>
            <w:pPr>
              <w:pStyle w:val="45"/>
              <w:rPr>
                <w:rFonts w:eastAsia="仿宋" w:cs="Times New Roman"/>
                <w:sz w:val="21"/>
                <w:szCs w:val="21"/>
              </w:rPr>
            </w:pPr>
            <w:r>
              <w:rPr>
                <w:rFonts w:hint="eastAsia" w:eastAsia="仿宋" w:cs="Times New Roman"/>
                <w:sz w:val="21"/>
                <w:szCs w:val="21"/>
              </w:rPr>
              <w:t>湿地公园涉及村庄</w:t>
            </w:r>
          </w:p>
        </w:tc>
        <w:tc>
          <w:tcPr>
            <w:tcW w:w="691" w:type="dxa"/>
            <w:vAlign w:val="center"/>
          </w:tcPr>
          <w:p>
            <w:pPr>
              <w:pStyle w:val="45"/>
              <w:rPr>
                <w:rFonts w:eastAsia="仿宋" w:cs="Times New Roman"/>
                <w:sz w:val="21"/>
                <w:szCs w:val="21"/>
              </w:rPr>
            </w:pPr>
          </w:p>
        </w:tc>
        <w:tc>
          <w:tcPr>
            <w:tcW w:w="6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960" w:type="dxa"/>
            <w:vMerge w:val="continue"/>
            <w:vAlign w:val="center"/>
          </w:tcPr>
          <w:p>
            <w:pPr>
              <w:pStyle w:val="45"/>
              <w:rPr>
                <w:rFonts w:eastAsia="仿宋" w:cs="Times New Roman"/>
                <w:sz w:val="21"/>
                <w:szCs w:val="21"/>
              </w:rPr>
            </w:pPr>
          </w:p>
        </w:tc>
        <w:tc>
          <w:tcPr>
            <w:tcW w:w="1770" w:type="dxa"/>
            <w:gridSpan w:val="2"/>
            <w:vAlign w:val="center"/>
          </w:tcPr>
          <w:p>
            <w:pPr>
              <w:pStyle w:val="45"/>
              <w:rPr>
                <w:rFonts w:eastAsia="仿宋" w:cs="Times New Roman"/>
                <w:sz w:val="21"/>
                <w:szCs w:val="21"/>
              </w:rPr>
            </w:pPr>
            <w:r>
              <w:rPr>
                <w:rFonts w:hint="eastAsia" w:eastAsia="仿宋" w:cs="Times New Roman"/>
                <w:sz w:val="21"/>
                <w:szCs w:val="21"/>
              </w:rPr>
              <w:t>分类垃圾桶</w:t>
            </w:r>
          </w:p>
        </w:tc>
        <w:tc>
          <w:tcPr>
            <w:tcW w:w="750" w:type="dxa"/>
            <w:vAlign w:val="center"/>
          </w:tcPr>
          <w:p>
            <w:pPr>
              <w:pStyle w:val="45"/>
              <w:rPr>
                <w:rFonts w:eastAsia="仿宋" w:cs="Times New Roman"/>
                <w:sz w:val="21"/>
                <w:szCs w:val="21"/>
              </w:rPr>
            </w:pPr>
            <w:r>
              <w:rPr>
                <w:rFonts w:hint="eastAsia" w:eastAsia="仿宋" w:cs="Times New Roman"/>
                <w:sz w:val="21"/>
                <w:szCs w:val="21"/>
              </w:rPr>
              <w:t>套</w:t>
            </w:r>
          </w:p>
        </w:tc>
        <w:tc>
          <w:tcPr>
            <w:tcW w:w="730" w:type="dxa"/>
            <w:vAlign w:val="center"/>
          </w:tcPr>
          <w:p>
            <w:pPr>
              <w:pStyle w:val="45"/>
              <w:rPr>
                <w:rFonts w:eastAsia="仿宋" w:cs="Times New Roman"/>
                <w:sz w:val="21"/>
                <w:szCs w:val="21"/>
              </w:rPr>
            </w:pPr>
            <w:r>
              <w:rPr>
                <w:rFonts w:hint="eastAsia" w:eastAsia="仿宋" w:cs="Times New Roman"/>
                <w:sz w:val="21"/>
                <w:szCs w:val="21"/>
              </w:rPr>
              <w:t>1000</w:t>
            </w:r>
          </w:p>
        </w:tc>
        <w:tc>
          <w:tcPr>
            <w:tcW w:w="1459" w:type="dxa"/>
            <w:vAlign w:val="center"/>
          </w:tcPr>
          <w:p>
            <w:pPr>
              <w:pStyle w:val="45"/>
              <w:rPr>
                <w:rFonts w:eastAsia="仿宋" w:cs="Times New Roman"/>
                <w:sz w:val="21"/>
                <w:szCs w:val="21"/>
              </w:rPr>
            </w:pPr>
            <w:r>
              <w:rPr>
                <w:rFonts w:hint="eastAsia" w:eastAsia="仿宋" w:cs="Times New Roman"/>
                <w:sz w:val="21"/>
                <w:szCs w:val="21"/>
              </w:rPr>
              <w:t>湿地公园涉及村庄</w:t>
            </w: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960" w:type="dxa"/>
            <w:vAlign w:val="center"/>
          </w:tcPr>
          <w:p>
            <w:pPr>
              <w:pStyle w:val="45"/>
              <w:rPr>
                <w:rFonts w:eastAsia="仿宋" w:cs="Times New Roman"/>
                <w:sz w:val="21"/>
                <w:szCs w:val="21"/>
              </w:rPr>
            </w:pPr>
            <w:r>
              <w:rPr>
                <w:rFonts w:hint="eastAsia" w:eastAsia="仿宋" w:cs="Times New Roman"/>
                <w:sz w:val="21"/>
                <w:szCs w:val="21"/>
              </w:rPr>
              <w:t>农村生活污水处理</w:t>
            </w:r>
          </w:p>
        </w:tc>
        <w:tc>
          <w:tcPr>
            <w:tcW w:w="1770" w:type="dxa"/>
            <w:gridSpan w:val="2"/>
            <w:vAlign w:val="center"/>
          </w:tcPr>
          <w:p>
            <w:pPr>
              <w:pStyle w:val="45"/>
              <w:rPr>
                <w:rFonts w:eastAsia="仿宋" w:cs="Times New Roman"/>
                <w:sz w:val="21"/>
                <w:szCs w:val="21"/>
              </w:rPr>
            </w:pPr>
            <w:r>
              <w:rPr>
                <w:rFonts w:hint="eastAsia" w:eastAsia="仿宋" w:cs="Times New Roman"/>
                <w:sz w:val="21"/>
                <w:szCs w:val="21"/>
              </w:rPr>
              <w:t>人工湿地+生态沟渠</w:t>
            </w:r>
          </w:p>
        </w:tc>
        <w:tc>
          <w:tcPr>
            <w:tcW w:w="750" w:type="dxa"/>
            <w:vAlign w:val="center"/>
          </w:tcPr>
          <w:p>
            <w:pPr>
              <w:pStyle w:val="45"/>
              <w:rPr>
                <w:rFonts w:eastAsia="仿宋" w:cs="Times New Roman"/>
                <w:sz w:val="21"/>
                <w:szCs w:val="21"/>
              </w:rPr>
            </w:pPr>
            <w:r>
              <w:rPr>
                <w:rFonts w:hint="eastAsia" w:eastAsia="仿宋" w:cs="Times New Roman"/>
                <w:sz w:val="21"/>
                <w:szCs w:val="21"/>
              </w:rPr>
              <w:t>处</w:t>
            </w:r>
          </w:p>
        </w:tc>
        <w:tc>
          <w:tcPr>
            <w:tcW w:w="730" w:type="dxa"/>
            <w:vAlign w:val="center"/>
          </w:tcPr>
          <w:p>
            <w:pPr>
              <w:pStyle w:val="45"/>
              <w:rPr>
                <w:rFonts w:eastAsia="仿宋" w:cs="Times New Roman"/>
                <w:sz w:val="21"/>
                <w:szCs w:val="21"/>
              </w:rPr>
            </w:pPr>
            <w:r>
              <w:rPr>
                <w:rFonts w:eastAsia="仿宋" w:cs="Times New Roman"/>
                <w:sz w:val="21"/>
                <w:szCs w:val="21"/>
              </w:rPr>
              <w:t>3</w:t>
            </w:r>
            <w:r>
              <w:rPr>
                <w:rFonts w:hint="eastAsia" w:eastAsia="仿宋" w:cs="Times New Roman"/>
                <w:sz w:val="21"/>
                <w:szCs w:val="21"/>
              </w:rPr>
              <w:t>9</w:t>
            </w:r>
          </w:p>
        </w:tc>
        <w:tc>
          <w:tcPr>
            <w:tcW w:w="1459" w:type="dxa"/>
            <w:vAlign w:val="center"/>
          </w:tcPr>
          <w:p>
            <w:pPr>
              <w:pStyle w:val="45"/>
              <w:rPr>
                <w:rFonts w:eastAsia="仿宋" w:cs="Times New Roman"/>
                <w:sz w:val="21"/>
                <w:szCs w:val="21"/>
              </w:rPr>
            </w:pPr>
            <w:r>
              <w:rPr>
                <w:rFonts w:hint="eastAsia" w:eastAsia="仿宋" w:cs="Times New Roman"/>
                <w:sz w:val="21"/>
                <w:szCs w:val="21"/>
              </w:rPr>
              <w:t>湿地公园涉及村庄</w:t>
            </w: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960" w:type="dxa"/>
            <w:vMerge w:val="restart"/>
            <w:vAlign w:val="center"/>
          </w:tcPr>
          <w:p>
            <w:pPr>
              <w:pStyle w:val="45"/>
              <w:rPr>
                <w:rFonts w:eastAsia="仿宋" w:cs="Times New Roman"/>
                <w:sz w:val="21"/>
                <w:szCs w:val="21"/>
              </w:rPr>
            </w:pPr>
            <w:r>
              <w:rPr>
                <w:rFonts w:hint="eastAsia" w:eastAsia="仿宋" w:cs="Times New Roman"/>
                <w:sz w:val="21"/>
                <w:szCs w:val="21"/>
              </w:rPr>
              <w:t>农业面源污染控制</w:t>
            </w:r>
          </w:p>
        </w:tc>
        <w:tc>
          <w:tcPr>
            <w:tcW w:w="1770" w:type="dxa"/>
            <w:gridSpan w:val="2"/>
            <w:vAlign w:val="center"/>
          </w:tcPr>
          <w:p>
            <w:pPr>
              <w:pStyle w:val="45"/>
              <w:rPr>
                <w:rFonts w:eastAsia="仿宋" w:cs="Times New Roman"/>
                <w:sz w:val="21"/>
                <w:szCs w:val="21"/>
              </w:rPr>
            </w:pPr>
            <w:r>
              <w:rPr>
                <w:rFonts w:hint="eastAsia" w:eastAsia="仿宋" w:cs="Times New Roman"/>
                <w:sz w:val="21"/>
                <w:szCs w:val="21"/>
              </w:rPr>
              <w:t>太阳能杀虫灯</w:t>
            </w:r>
          </w:p>
        </w:tc>
        <w:tc>
          <w:tcPr>
            <w:tcW w:w="750" w:type="dxa"/>
            <w:vAlign w:val="center"/>
          </w:tcPr>
          <w:p>
            <w:pPr>
              <w:pStyle w:val="45"/>
              <w:rPr>
                <w:rFonts w:eastAsia="仿宋" w:cs="Times New Roman"/>
                <w:sz w:val="21"/>
                <w:szCs w:val="21"/>
              </w:rPr>
            </w:pPr>
            <w:r>
              <w:rPr>
                <w:rFonts w:hint="eastAsia" w:eastAsia="仿宋" w:cs="Times New Roman"/>
                <w:sz w:val="21"/>
                <w:szCs w:val="21"/>
              </w:rPr>
              <w:t>个</w:t>
            </w:r>
          </w:p>
        </w:tc>
        <w:tc>
          <w:tcPr>
            <w:tcW w:w="730" w:type="dxa"/>
            <w:vAlign w:val="center"/>
          </w:tcPr>
          <w:p>
            <w:pPr>
              <w:pStyle w:val="45"/>
              <w:rPr>
                <w:rFonts w:eastAsia="仿宋" w:cs="Times New Roman"/>
                <w:sz w:val="21"/>
                <w:szCs w:val="21"/>
              </w:rPr>
            </w:pPr>
            <w:r>
              <w:rPr>
                <w:rFonts w:eastAsia="仿宋" w:cs="Times New Roman"/>
                <w:sz w:val="21"/>
                <w:szCs w:val="21"/>
              </w:rPr>
              <w:t>1</w:t>
            </w:r>
            <w:r>
              <w:rPr>
                <w:rFonts w:hint="eastAsia" w:eastAsia="仿宋" w:cs="Times New Roman"/>
                <w:sz w:val="21"/>
                <w:szCs w:val="21"/>
              </w:rPr>
              <w:t>0</w:t>
            </w:r>
            <w:r>
              <w:rPr>
                <w:rFonts w:eastAsia="仿宋" w:cs="Times New Roman"/>
                <w:sz w:val="21"/>
                <w:szCs w:val="21"/>
              </w:rPr>
              <w:t>00</w:t>
            </w:r>
          </w:p>
        </w:tc>
        <w:tc>
          <w:tcPr>
            <w:tcW w:w="1459" w:type="dxa"/>
            <w:vAlign w:val="center"/>
          </w:tcPr>
          <w:p>
            <w:pPr>
              <w:pStyle w:val="45"/>
              <w:rPr>
                <w:rFonts w:eastAsia="仿宋" w:cs="Times New Roman"/>
                <w:sz w:val="21"/>
                <w:szCs w:val="21"/>
              </w:rPr>
            </w:pPr>
            <w:r>
              <w:rPr>
                <w:rFonts w:hint="eastAsia" w:eastAsia="仿宋" w:cs="Times New Roman"/>
                <w:sz w:val="21"/>
                <w:szCs w:val="21"/>
              </w:rPr>
              <w:t>湿地公园涉及村庄</w:t>
            </w: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960" w:type="dxa"/>
            <w:vMerge w:val="continue"/>
            <w:vAlign w:val="center"/>
          </w:tcPr>
          <w:p>
            <w:pPr>
              <w:pStyle w:val="45"/>
              <w:rPr>
                <w:rFonts w:eastAsia="仿宋" w:cs="Times New Roman"/>
                <w:sz w:val="21"/>
                <w:szCs w:val="21"/>
              </w:rPr>
            </w:pPr>
          </w:p>
        </w:tc>
        <w:tc>
          <w:tcPr>
            <w:tcW w:w="1770" w:type="dxa"/>
            <w:gridSpan w:val="2"/>
            <w:vAlign w:val="center"/>
          </w:tcPr>
          <w:p>
            <w:pPr>
              <w:pStyle w:val="45"/>
              <w:rPr>
                <w:rFonts w:eastAsia="仿宋" w:cs="Times New Roman"/>
                <w:sz w:val="21"/>
                <w:szCs w:val="21"/>
              </w:rPr>
            </w:pPr>
            <w:r>
              <w:rPr>
                <w:rFonts w:hint="eastAsia" w:eastAsia="仿宋" w:cs="Times New Roman"/>
                <w:sz w:val="21"/>
                <w:szCs w:val="21"/>
              </w:rPr>
              <w:t>生态沟渠改造</w:t>
            </w:r>
          </w:p>
        </w:tc>
        <w:tc>
          <w:tcPr>
            <w:tcW w:w="750" w:type="dxa"/>
            <w:vAlign w:val="center"/>
          </w:tcPr>
          <w:p>
            <w:pPr>
              <w:pStyle w:val="45"/>
              <w:rPr>
                <w:rFonts w:eastAsia="仿宋" w:cs="Times New Roman"/>
                <w:sz w:val="21"/>
                <w:szCs w:val="21"/>
              </w:rPr>
            </w:pPr>
            <w:r>
              <w:rPr>
                <w:rFonts w:hint="eastAsia" w:eastAsia="仿宋" w:cs="Times New Roman"/>
                <w:sz w:val="21"/>
                <w:szCs w:val="21"/>
              </w:rPr>
              <w:t>公里</w:t>
            </w:r>
          </w:p>
        </w:tc>
        <w:tc>
          <w:tcPr>
            <w:tcW w:w="730" w:type="dxa"/>
            <w:vAlign w:val="center"/>
          </w:tcPr>
          <w:p>
            <w:pPr>
              <w:pStyle w:val="45"/>
              <w:rPr>
                <w:rFonts w:eastAsia="仿宋" w:cs="Times New Roman"/>
                <w:sz w:val="21"/>
                <w:szCs w:val="21"/>
              </w:rPr>
            </w:pPr>
            <w:r>
              <w:rPr>
                <w:rFonts w:hint="eastAsia" w:eastAsia="仿宋" w:cs="Times New Roman"/>
                <w:sz w:val="21"/>
                <w:szCs w:val="21"/>
              </w:rPr>
              <w:t>117</w:t>
            </w:r>
          </w:p>
        </w:tc>
        <w:tc>
          <w:tcPr>
            <w:tcW w:w="1459" w:type="dxa"/>
            <w:vAlign w:val="center"/>
          </w:tcPr>
          <w:p>
            <w:pPr>
              <w:pStyle w:val="45"/>
              <w:rPr>
                <w:rFonts w:eastAsia="仿宋" w:cs="Times New Roman"/>
                <w:sz w:val="21"/>
                <w:szCs w:val="21"/>
              </w:rPr>
            </w:pPr>
            <w:r>
              <w:rPr>
                <w:rFonts w:hint="eastAsia" w:eastAsia="仿宋" w:cs="Times New Roman"/>
                <w:sz w:val="21"/>
                <w:szCs w:val="21"/>
              </w:rPr>
              <w:t>湿地公园涉及村庄</w:t>
            </w: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960" w:type="dxa"/>
            <w:vMerge w:val="continue"/>
            <w:vAlign w:val="center"/>
          </w:tcPr>
          <w:p>
            <w:pPr>
              <w:pStyle w:val="45"/>
              <w:rPr>
                <w:rFonts w:eastAsia="仿宋" w:cs="Times New Roman"/>
                <w:sz w:val="21"/>
                <w:szCs w:val="21"/>
              </w:rPr>
            </w:pPr>
          </w:p>
        </w:tc>
        <w:tc>
          <w:tcPr>
            <w:tcW w:w="1770" w:type="dxa"/>
            <w:gridSpan w:val="2"/>
            <w:vAlign w:val="center"/>
          </w:tcPr>
          <w:p>
            <w:pPr>
              <w:pStyle w:val="45"/>
              <w:rPr>
                <w:rFonts w:eastAsia="仿宋" w:cs="Times New Roman"/>
                <w:sz w:val="21"/>
                <w:szCs w:val="21"/>
              </w:rPr>
            </w:pPr>
            <w:r>
              <w:rPr>
                <w:rFonts w:hint="eastAsia" w:eastAsia="仿宋" w:cs="Times New Roman"/>
                <w:sz w:val="21"/>
                <w:szCs w:val="21"/>
              </w:rPr>
              <w:t>带状人工湿地生态系统</w:t>
            </w:r>
          </w:p>
        </w:tc>
        <w:tc>
          <w:tcPr>
            <w:tcW w:w="750" w:type="dxa"/>
            <w:vAlign w:val="center"/>
          </w:tcPr>
          <w:p>
            <w:pPr>
              <w:pStyle w:val="45"/>
              <w:rPr>
                <w:rFonts w:eastAsia="仿宋" w:cs="Times New Roman"/>
                <w:sz w:val="21"/>
                <w:szCs w:val="21"/>
              </w:rPr>
            </w:pPr>
            <w:r>
              <w:rPr>
                <w:rFonts w:hint="eastAsia" w:eastAsia="仿宋" w:cs="Times New Roman"/>
                <w:sz w:val="21"/>
                <w:szCs w:val="21"/>
              </w:rPr>
              <w:t>公顷</w:t>
            </w:r>
          </w:p>
        </w:tc>
        <w:tc>
          <w:tcPr>
            <w:tcW w:w="730" w:type="dxa"/>
            <w:vAlign w:val="center"/>
          </w:tcPr>
          <w:p>
            <w:pPr>
              <w:pStyle w:val="45"/>
              <w:rPr>
                <w:rFonts w:eastAsia="仿宋" w:cs="Times New Roman"/>
                <w:sz w:val="21"/>
                <w:szCs w:val="21"/>
              </w:rPr>
            </w:pPr>
            <w:r>
              <w:rPr>
                <w:rFonts w:eastAsia="仿宋" w:cs="Times New Roman"/>
                <w:sz w:val="21"/>
                <w:szCs w:val="21"/>
              </w:rPr>
              <w:t>120</w:t>
            </w:r>
          </w:p>
        </w:tc>
        <w:tc>
          <w:tcPr>
            <w:tcW w:w="1459" w:type="dxa"/>
            <w:vAlign w:val="center"/>
          </w:tcPr>
          <w:p>
            <w:pPr>
              <w:pStyle w:val="45"/>
              <w:rPr>
                <w:rFonts w:eastAsia="仿宋" w:cs="Times New Roman"/>
                <w:sz w:val="21"/>
                <w:szCs w:val="21"/>
              </w:rPr>
            </w:pPr>
            <w:r>
              <w:rPr>
                <w:rFonts w:hint="eastAsia" w:eastAsia="仿宋" w:cs="Times New Roman"/>
                <w:sz w:val="21"/>
                <w:szCs w:val="21"/>
              </w:rPr>
              <w:t>湿地公园涉及村庄</w:t>
            </w: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960" w:type="dxa"/>
            <w:vMerge w:val="continue"/>
            <w:vAlign w:val="center"/>
          </w:tcPr>
          <w:p>
            <w:pPr>
              <w:pStyle w:val="45"/>
              <w:rPr>
                <w:rFonts w:eastAsia="仿宋" w:cs="Times New Roman"/>
                <w:sz w:val="21"/>
                <w:szCs w:val="21"/>
              </w:rPr>
            </w:pPr>
          </w:p>
        </w:tc>
        <w:tc>
          <w:tcPr>
            <w:tcW w:w="1770" w:type="dxa"/>
            <w:gridSpan w:val="2"/>
            <w:vAlign w:val="center"/>
          </w:tcPr>
          <w:p>
            <w:pPr>
              <w:pStyle w:val="45"/>
              <w:rPr>
                <w:rFonts w:eastAsia="仿宋" w:cs="Times New Roman"/>
                <w:sz w:val="21"/>
                <w:szCs w:val="21"/>
              </w:rPr>
            </w:pPr>
            <w:r>
              <w:rPr>
                <w:rFonts w:hint="eastAsia" w:eastAsia="仿宋" w:cs="Times New Roman"/>
                <w:sz w:val="21"/>
                <w:szCs w:val="21"/>
              </w:rPr>
              <w:t>富营养化治理</w:t>
            </w:r>
          </w:p>
        </w:tc>
        <w:tc>
          <w:tcPr>
            <w:tcW w:w="750" w:type="dxa"/>
            <w:vAlign w:val="center"/>
          </w:tcPr>
          <w:p>
            <w:pPr>
              <w:pStyle w:val="45"/>
              <w:rPr>
                <w:rFonts w:eastAsia="仿宋" w:cs="Times New Roman"/>
                <w:sz w:val="21"/>
                <w:szCs w:val="21"/>
              </w:rPr>
            </w:pPr>
            <w:r>
              <w:rPr>
                <w:rFonts w:hint="eastAsia" w:eastAsia="仿宋" w:cs="Times New Roman"/>
                <w:sz w:val="21"/>
                <w:szCs w:val="21"/>
              </w:rPr>
              <w:t>项</w:t>
            </w:r>
          </w:p>
        </w:tc>
        <w:tc>
          <w:tcPr>
            <w:tcW w:w="730" w:type="dxa"/>
            <w:vAlign w:val="center"/>
          </w:tcPr>
          <w:p>
            <w:pPr>
              <w:pStyle w:val="45"/>
              <w:rPr>
                <w:rFonts w:eastAsia="仿宋" w:cs="Times New Roman"/>
                <w:sz w:val="21"/>
                <w:szCs w:val="21"/>
              </w:rPr>
            </w:pPr>
            <w:r>
              <w:rPr>
                <w:rFonts w:hint="eastAsia" w:eastAsia="仿宋" w:cs="Times New Roman"/>
                <w:sz w:val="21"/>
                <w:szCs w:val="21"/>
              </w:rPr>
              <w:t>1</w:t>
            </w:r>
          </w:p>
        </w:tc>
        <w:tc>
          <w:tcPr>
            <w:tcW w:w="1459" w:type="dxa"/>
            <w:vAlign w:val="center"/>
          </w:tcPr>
          <w:p>
            <w:pPr>
              <w:pStyle w:val="45"/>
              <w:rPr>
                <w:rFonts w:eastAsia="仿宋" w:cs="Times New Roman"/>
                <w:sz w:val="21"/>
                <w:szCs w:val="21"/>
              </w:rPr>
            </w:pPr>
            <w:r>
              <w:rPr>
                <w:rFonts w:hint="eastAsia" w:eastAsia="仿宋" w:cs="Times New Roman"/>
                <w:sz w:val="21"/>
                <w:szCs w:val="21"/>
              </w:rPr>
              <w:t>仙阳湖</w:t>
            </w: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8" w:hRule="atLeast"/>
        </w:trPr>
        <w:tc>
          <w:tcPr>
            <w:tcW w:w="710" w:type="dxa"/>
            <w:vMerge w:val="restart"/>
            <w:vAlign w:val="center"/>
          </w:tcPr>
          <w:p>
            <w:pPr>
              <w:pStyle w:val="45"/>
              <w:rPr>
                <w:rFonts w:eastAsia="仿宋" w:cs="Times New Roman"/>
                <w:sz w:val="21"/>
                <w:szCs w:val="21"/>
              </w:rPr>
            </w:pPr>
            <w:r>
              <w:rPr>
                <w:rFonts w:eastAsia="仿宋" w:cs="Times New Roman"/>
                <w:sz w:val="21"/>
                <w:szCs w:val="21"/>
              </w:rPr>
              <w:t>3</w:t>
            </w:r>
          </w:p>
        </w:tc>
        <w:tc>
          <w:tcPr>
            <w:tcW w:w="1050" w:type="dxa"/>
            <w:vMerge w:val="restart"/>
            <w:vAlign w:val="center"/>
          </w:tcPr>
          <w:p>
            <w:pPr>
              <w:pStyle w:val="45"/>
              <w:rPr>
                <w:rFonts w:eastAsia="仿宋" w:cs="Times New Roman"/>
                <w:sz w:val="21"/>
                <w:szCs w:val="21"/>
              </w:rPr>
            </w:pPr>
            <w:r>
              <w:rPr>
                <w:rFonts w:hint="eastAsia" w:eastAsia="仿宋" w:cs="Times New Roman"/>
                <w:sz w:val="21"/>
                <w:szCs w:val="21"/>
              </w:rPr>
              <w:t>水岸保护(恢复)规划</w:t>
            </w:r>
          </w:p>
        </w:tc>
        <w:tc>
          <w:tcPr>
            <w:tcW w:w="968" w:type="dxa"/>
            <w:gridSpan w:val="2"/>
            <w:vMerge w:val="restart"/>
            <w:vAlign w:val="center"/>
          </w:tcPr>
          <w:p>
            <w:pPr>
              <w:pStyle w:val="45"/>
              <w:rPr>
                <w:rFonts w:eastAsia="仿宋" w:cs="Times New Roman"/>
                <w:sz w:val="21"/>
                <w:szCs w:val="21"/>
              </w:rPr>
            </w:pPr>
            <w:r>
              <w:rPr>
                <w:rFonts w:hint="eastAsia" w:eastAsia="仿宋" w:cs="Times New Roman"/>
                <w:sz w:val="21"/>
                <w:szCs w:val="21"/>
              </w:rPr>
              <w:t>仙阳湖湖滨消涨带保护和修复工程</w:t>
            </w:r>
          </w:p>
        </w:tc>
        <w:tc>
          <w:tcPr>
            <w:tcW w:w="1762" w:type="dxa"/>
            <w:vAlign w:val="center"/>
          </w:tcPr>
          <w:p>
            <w:pPr>
              <w:pStyle w:val="45"/>
              <w:rPr>
                <w:rFonts w:eastAsia="仿宋" w:cs="Times New Roman"/>
                <w:sz w:val="21"/>
                <w:szCs w:val="21"/>
              </w:rPr>
            </w:pPr>
            <w:r>
              <w:rPr>
                <w:rFonts w:hint="eastAsia" w:eastAsia="仿宋" w:cs="Times New Roman"/>
                <w:sz w:val="21"/>
                <w:szCs w:val="21"/>
              </w:rPr>
              <w:t>完全演替系列修复</w:t>
            </w:r>
          </w:p>
        </w:tc>
        <w:tc>
          <w:tcPr>
            <w:tcW w:w="750" w:type="dxa"/>
            <w:vAlign w:val="center"/>
          </w:tcPr>
          <w:p>
            <w:pPr>
              <w:pStyle w:val="45"/>
              <w:rPr>
                <w:rFonts w:eastAsia="仿宋" w:cs="Times New Roman"/>
                <w:sz w:val="21"/>
                <w:szCs w:val="21"/>
              </w:rPr>
            </w:pPr>
            <w:r>
              <w:rPr>
                <w:rFonts w:hint="eastAsia" w:eastAsia="仿宋" w:cs="Times New Roman"/>
                <w:sz w:val="21"/>
                <w:szCs w:val="21"/>
              </w:rPr>
              <w:t>公里</w:t>
            </w:r>
          </w:p>
        </w:tc>
        <w:tc>
          <w:tcPr>
            <w:tcW w:w="730" w:type="dxa"/>
            <w:vAlign w:val="center"/>
          </w:tcPr>
          <w:p>
            <w:pPr>
              <w:pStyle w:val="45"/>
              <w:rPr>
                <w:rFonts w:eastAsia="仿宋" w:cs="Times New Roman"/>
                <w:sz w:val="21"/>
                <w:szCs w:val="21"/>
              </w:rPr>
            </w:pPr>
            <w:r>
              <w:rPr>
                <w:rFonts w:hint="eastAsia" w:eastAsia="仿宋" w:cs="Times New Roman"/>
                <w:sz w:val="21"/>
                <w:szCs w:val="21"/>
              </w:rPr>
              <w:t>5</w:t>
            </w:r>
            <w:r>
              <w:rPr>
                <w:rFonts w:eastAsia="仿宋" w:cs="Times New Roman"/>
                <w:sz w:val="21"/>
                <w:szCs w:val="21"/>
              </w:rPr>
              <w:t>5</w:t>
            </w:r>
          </w:p>
        </w:tc>
        <w:tc>
          <w:tcPr>
            <w:tcW w:w="1459" w:type="dxa"/>
            <w:vAlign w:val="center"/>
          </w:tcPr>
          <w:p>
            <w:pPr>
              <w:pStyle w:val="45"/>
              <w:rPr>
                <w:rFonts w:eastAsia="仿宋" w:cs="Times New Roman"/>
                <w:sz w:val="21"/>
                <w:szCs w:val="21"/>
              </w:rPr>
            </w:pPr>
            <w:r>
              <w:rPr>
                <w:rFonts w:hint="eastAsia" w:eastAsia="仿宋" w:cs="Times New Roman"/>
                <w:sz w:val="21"/>
                <w:szCs w:val="21"/>
              </w:rPr>
              <w:t>仙阳湖</w:t>
            </w: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7"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968" w:type="dxa"/>
            <w:gridSpan w:val="2"/>
            <w:vMerge w:val="continue"/>
            <w:vAlign w:val="center"/>
          </w:tcPr>
          <w:p>
            <w:pPr>
              <w:pStyle w:val="45"/>
              <w:rPr>
                <w:rFonts w:eastAsia="仿宋" w:cs="Times New Roman"/>
                <w:sz w:val="21"/>
                <w:szCs w:val="21"/>
              </w:rPr>
            </w:pPr>
          </w:p>
        </w:tc>
        <w:tc>
          <w:tcPr>
            <w:tcW w:w="1762" w:type="dxa"/>
            <w:vAlign w:val="center"/>
          </w:tcPr>
          <w:p>
            <w:pPr>
              <w:pStyle w:val="45"/>
              <w:rPr>
                <w:rFonts w:eastAsia="仿宋" w:cs="Times New Roman"/>
                <w:sz w:val="21"/>
                <w:szCs w:val="21"/>
              </w:rPr>
            </w:pPr>
            <w:r>
              <w:rPr>
                <w:rFonts w:hint="eastAsia" w:eastAsia="仿宋" w:cs="Times New Roman"/>
                <w:sz w:val="21"/>
                <w:szCs w:val="21"/>
              </w:rPr>
              <w:t>不完全演替系列修复</w:t>
            </w:r>
          </w:p>
        </w:tc>
        <w:tc>
          <w:tcPr>
            <w:tcW w:w="750" w:type="dxa"/>
            <w:vAlign w:val="center"/>
          </w:tcPr>
          <w:p>
            <w:pPr>
              <w:pStyle w:val="45"/>
              <w:rPr>
                <w:rFonts w:eastAsia="仿宋" w:cs="Times New Roman"/>
                <w:sz w:val="21"/>
                <w:szCs w:val="21"/>
              </w:rPr>
            </w:pPr>
            <w:r>
              <w:rPr>
                <w:rFonts w:hint="eastAsia" w:eastAsia="仿宋" w:cs="Times New Roman"/>
                <w:sz w:val="21"/>
                <w:szCs w:val="21"/>
              </w:rPr>
              <w:t>公里</w:t>
            </w:r>
          </w:p>
        </w:tc>
        <w:tc>
          <w:tcPr>
            <w:tcW w:w="730" w:type="dxa"/>
            <w:vAlign w:val="center"/>
          </w:tcPr>
          <w:p>
            <w:pPr>
              <w:pStyle w:val="45"/>
              <w:rPr>
                <w:rFonts w:eastAsia="仿宋" w:cs="Times New Roman"/>
                <w:sz w:val="21"/>
                <w:szCs w:val="21"/>
              </w:rPr>
            </w:pPr>
            <w:r>
              <w:rPr>
                <w:rFonts w:hint="eastAsia" w:eastAsia="仿宋" w:cs="Times New Roman"/>
                <w:sz w:val="21"/>
                <w:szCs w:val="21"/>
              </w:rPr>
              <w:t>70</w:t>
            </w:r>
          </w:p>
        </w:tc>
        <w:tc>
          <w:tcPr>
            <w:tcW w:w="1459" w:type="dxa"/>
            <w:vAlign w:val="center"/>
          </w:tcPr>
          <w:p>
            <w:pPr>
              <w:pStyle w:val="45"/>
              <w:rPr>
                <w:rFonts w:eastAsia="仿宋" w:cs="Times New Roman"/>
                <w:sz w:val="21"/>
                <w:szCs w:val="21"/>
              </w:rPr>
            </w:pPr>
            <w:r>
              <w:rPr>
                <w:rFonts w:hint="eastAsia" w:eastAsia="仿宋" w:cs="Times New Roman"/>
                <w:sz w:val="21"/>
                <w:szCs w:val="21"/>
              </w:rPr>
              <w:t>仙阳湖</w:t>
            </w:r>
          </w:p>
        </w:tc>
        <w:tc>
          <w:tcPr>
            <w:tcW w:w="691" w:type="dxa"/>
            <w:vAlign w:val="center"/>
          </w:tcPr>
          <w:p>
            <w:pPr>
              <w:pStyle w:val="45"/>
              <w:rPr>
                <w:rFonts w:eastAsia="仿宋" w:cs="Times New Roman"/>
                <w:sz w:val="21"/>
                <w:szCs w:val="21"/>
              </w:rPr>
            </w:pPr>
          </w:p>
        </w:tc>
        <w:tc>
          <w:tcPr>
            <w:tcW w:w="6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968" w:type="dxa"/>
            <w:gridSpan w:val="2"/>
            <w:vMerge w:val="restart"/>
            <w:vAlign w:val="center"/>
          </w:tcPr>
          <w:p>
            <w:pPr>
              <w:pStyle w:val="45"/>
              <w:rPr>
                <w:rFonts w:eastAsia="仿宋" w:cs="Times New Roman"/>
                <w:sz w:val="21"/>
                <w:szCs w:val="21"/>
              </w:rPr>
            </w:pPr>
            <w:r>
              <w:rPr>
                <w:rFonts w:hint="eastAsia" w:eastAsia="仿宋" w:cs="Times New Roman"/>
                <w:sz w:val="21"/>
                <w:szCs w:val="21"/>
              </w:rPr>
              <w:t>受损水岸修复工程</w:t>
            </w:r>
          </w:p>
        </w:tc>
        <w:tc>
          <w:tcPr>
            <w:tcW w:w="1762" w:type="dxa"/>
            <w:vAlign w:val="center"/>
          </w:tcPr>
          <w:p>
            <w:pPr>
              <w:pStyle w:val="45"/>
              <w:rPr>
                <w:rFonts w:eastAsia="仿宋" w:cs="Times New Roman"/>
                <w:sz w:val="21"/>
                <w:szCs w:val="21"/>
              </w:rPr>
            </w:pPr>
            <w:r>
              <w:rPr>
                <w:rFonts w:hint="eastAsia" w:eastAsia="仿宋" w:cs="Times New Roman"/>
                <w:sz w:val="21"/>
                <w:szCs w:val="21"/>
              </w:rPr>
              <w:t>自然演替修复</w:t>
            </w:r>
          </w:p>
        </w:tc>
        <w:tc>
          <w:tcPr>
            <w:tcW w:w="750" w:type="dxa"/>
            <w:vAlign w:val="center"/>
          </w:tcPr>
          <w:p>
            <w:pPr>
              <w:pStyle w:val="45"/>
              <w:rPr>
                <w:rFonts w:eastAsia="仿宋" w:cs="Times New Roman"/>
                <w:sz w:val="21"/>
                <w:szCs w:val="21"/>
              </w:rPr>
            </w:pPr>
            <w:r>
              <w:rPr>
                <w:rFonts w:hint="eastAsia" w:eastAsia="仿宋" w:cs="Times New Roman"/>
                <w:sz w:val="21"/>
                <w:szCs w:val="21"/>
              </w:rPr>
              <w:t>公里</w:t>
            </w:r>
          </w:p>
        </w:tc>
        <w:tc>
          <w:tcPr>
            <w:tcW w:w="730" w:type="dxa"/>
            <w:vAlign w:val="center"/>
          </w:tcPr>
          <w:p>
            <w:pPr>
              <w:pStyle w:val="45"/>
              <w:rPr>
                <w:rFonts w:eastAsia="仿宋" w:cs="Times New Roman"/>
                <w:sz w:val="21"/>
                <w:szCs w:val="21"/>
              </w:rPr>
            </w:pPr>
            <w:r>
              <w:rPr>
                <w:rFonts w:hint="eastAsia" w:eastAsia="仿宋" w:cs="Times New Roman"/>
                <w:sz w:val="21"/>
                <w:szCs w:val="21"/>
              </w:rPr>
              <w:t>6</w:t>
            </w:r>
            <w:r>
              <w:rPr>
                <w:rFonts w:eastAsia="仿宋" w:cs="Times New Roman"/>
                <w:sz w:val="21"/>
                <w:szCs w:val="21"/>
              </w:rPr>
              <w:t>0</w:t>
            </w:r>
          </w:p>
        </w:tc>
        <w:tc>
          <w:tcPr>
            <w:tcW w:w="1459" w:type="dxa"/>
            <w:vAlign w:val="center"/>
          </w:tcPr>
          <w:p>
            <w:pPr>
              <w:pStyle w:val="45"/>
              <w:rPr>
                <w:rFonts w:eastAsia="仿宋" w:cs="Times New Roman"/>
                <w:sz w:val="21"/>
                <w:szCs w:val="21"/>
              </w:rPr>
            </w:pPr>
            <w:r>
              <w:rPr>
                <w:rFonts w:hint="eastAsia" w:eastAsia="仿宋" w:cs="Times New Roman"/>
                <w:sz w:val="21"/>
                <w:szCs w:val="21"/>
              </w:rPr>
              <w:t>仙阳湖</w:t>
            </w:r>
          </w:p>
        </w:tc>
        <w:tc>
          <w:tcPr>
            <w:tcW w:w="691" w:type="dxa"/>
            <w:vAlign w:val="center"/>
          </w:tcPr>
          <w:p>
            <w:pPr>
              <w:pStyle w:val="45"/>
              <w:rPr>
                <w:rFonts w:eastAsia="仿宋" w:cs="Times New Roman"/>
                <w:sz w:val="21"/>
                <w:szCs w:val="21"/>
              </w:rPr>
            </w:pPr>
          </w:p>
        </w:tc>
        <w:tc>
          <w:tcPr>
            <w:tcW w:w="6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968" w:type="dxa"/>
            <w:gridSpan w:val="2"/>
            <w:vMerge w:val="continue"/>
            <w:vAlign w:val="center"/>
          </w:tcPr>
          <w:p>
            <w:pPr>
              <w:pStyle w:val="45"/>
              <w:rPr>
                <w:rFonts w:eastAsia="仿宋" w:cs="Times New Roman"/>
                <w:sz w:val="21"/>
                <w:szCs w:val="21"/>
              </w:rPr>
            </w:pPr>
          </w:p>
        </w:tc>
        <w:tc>
          <w:tcPr>
            <w:tcW w:w="1762" w:type="dxa"/>
            <w:vAlign w:val="center"/>
          </w:tcPr>
          <w:p>
            <w:pPr>
              <w:pStyle w:val="45"/>
              <w:rPr>
                <w:rFonts w:eastAsia="仿宋" w:cs="Times New Roman"/>
                <w:sz w:val="21"/>
                <w:szCs w:val="21"/>
              </w:rPr>
            </w:pPr>
            <w:r>
              <w:rPr>
                <w:rFonts w:hint="eastAsia" w:eastAsia="仿宋" w:cs="Times New Roman"/>
                <w:sz w:val="21"/>
                <w:szCs w:val="21"/>
              </w:rPr>
              <w:t>混合修复</w:t>
            </w:r>
          </w:p>
        </w:tc>
        <w:tc>
          <w:tcPr>
            <w:tcW w:w="750" w:type="dxa"/>
            <w:vAlign w:val="center"/>
          </w:tcPr>
          <w:p>
            <w:pPr>
              <w:pStyle w:val="45"/>
              <w:rPr>
                <w:rFonts w:eastAsia="仿宋" w:cs="Times New Roman"/>
                <w:sz w:val="21"/>
                <w:szCs w:val="21"/>
              </w:rPr>
            </w:pPr>
            <w:r>
              <w:rPr>
                <w:rFonts w:hint="eastAsia" w:eastAsia="仿宋" w:cs="Times New Roman"/>
                <w:sz w:val="21"/>
                <w:szCs w:val="21"/>
              </w:rPr>
              <w:t>公里</w:t>
            </w:r>
          </w:p>
        </w:tc>
        <w:tc>
          <w:tcPr>
            <w:tcW w:w="730" w:type="dxa"/>
            <w:vAlign w:val="center"/>
          </w:tcPr>
          <w:p>
            <w:pPr>
              <w:pStyle w:val="45"/>
              <w:rPr>
                <w:rFonts w:eastAsia="仿宋" w:cs="Times New Roman"/>
                <w:sz w:val="21"/>
                <w:szCs w:val="21"/>
              </w:rPr>
            </w:pPr>
            <w:r>
              <w:rPr>
                <w:rFonts w:hint="eastAsia" w:eastAsia="仿宋" w:cs="Times New Roman"/>
                <w:sz w:val="21"/>
                <w:szCs w:val="21"/>
              </w:rPr>
              <w:t>6</w:t>
            </w:r>
            <w:r>
              <w:rPr>
                <w:rFonts w:eastAsia="仿宋" w:cs="Times New Roman"/>
                <w:sz w:val="21"/>
                <w:szCs w:val="21"/>
              </w:rPr>
              <w:t>0</w:t>
            </w:r>
          </w:p>
        </w:tc>
        <w:tc>
          <w:tcPr>
            <w:tcW w:w="1459" w:type="dxa"/>
            <w:vAlign w:val="center"/>
          </w:tcPr>
          <w:p>
            <w:pPr>
              <w:pStyle w:val="45"/>
              <w:rPr>
                <w:rFonts w:eastAsia="仿宋" w:cs="Times New Roman"/>
                <w:sz w:val="21"/>
                <w:szCs w:val="21"/>
              </w:rPr>
            </w:pPr>
            <w:r>
              <w:rPr>
                <w:rFonts w:hint="eastAsia" w:eastAsia="仿宋" w:cs="Times New Roman"/>
                <w:sz w:val="21"/>
                <w:szCs w:val="21"/>
              </w:rPr>
              <w:t>仙阳湖、峡峪河</w:t>
            </w:r>
          </w:p>
        </w:tc>
        <w:tc>
          <w:tcPr>
            <w:tcW w:w="691" w:type="dxa"/>
            <w:vAlign w:val="center"/>
          </w:tcPr>
          <w:p>
            <w:pPr>
              <w:pStyle w:val="45"/>
              <w:rPr>
                <w:rFonts w:eastAsia="仿宋" w:cs="Times New Roman"/>
                <w:sz w:val="21"/>
                <w:szCs w:val="21"/>
              </w:rPr>
            </w:pPr>
          </w:p>
        </w:tc>
        <w:tc>
          <w:tcPr>
            <w:tcW w:w="6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restart"/>
            <w:vAlign w:val="center"/>
          </w:tcPr>
          <w:p>
            <w:pPr>
              <w:pStyle w:val="45"/>
              <w:rPr>
                <w:rFonts w:eastAsia="仿宋" w:cs="Times New Roman"/>
                <w:sz w:val="21"/>
                <w:szCs w:val="21"/>
              </w:rPr>
            </w:pPr>
            <w:r>
              <w:rPr>
                <w:rFonts w:eastAsia="仿宋" w:cs="Times New Roman"/>
                <w:sz w:val="21"/>
                <w:szCs w:val="21"/>
              </w:rPr>
              <w:t>4</w:t>
            </w:r>
          </w:p>
        </w:tc>
        <w:tc>
          <w:tcPr>
            <w:tcW w:w="1050" w:type="dxa"/>
            <w:vMerge w:val="restart"/>
            <w:vAlign w:val="center"/>
          </w:tcPr>
          <w:p>
            <w:pPr>
              <w:pStyle w:val="45"/>
              <w:rPr>
                <w:rFonts w:eastAsia="仿宋" w:cs="Times New Roman"/>
                <w:sz w:val="21"/>
                <w:szCs w:val="21"/>
              </w:rPr>
            </w:pPr>
            <w:r>
              <w:rPr>
                <w:rFonts w:hint="eastAsia" w:eastAsia="仿宋" w:cs="Times New Roman"/>
                <w:sz w:val="21"/>
                <w:szCs w:val="21"/>
              </w:rPr>
              <w:t>栖息地保护(恢复)规划</w:t>
            </w:r>
          </w:p>
        </w:tc>
        <w:tc>
          <w:tcPr>
            <w:tcW w:w="2730" w:type="dxa"/>
            <w:gridSpan w:val="3"/>
            <w:vAlign w:val="center"/>
          </w:tcPr>
          <w:p>
            <w:pPr>
              <w:pStyle w:val="45"/>
              <w:rPr>
                <w:rFonts w:eastAsia="仿宋" w:cs="Times New Roman"/>
                <w:sz w:val="21"/>
                <w:szCs w:val="21"/>
              </w:rPr>
            </w:pPr>
            <w:r>
              <w:rPr>
                <w:rFonts w:hint="eastAsia" w:eastAsia="仿宋" w:cs="Times New Roman"/>
                <w:sz w:val="21"/>
                <w:szCs w:val="21"/>
              </w:rPr>
              <w:t>洲滩湿地恢复与修复</w:t>
            </w:r>
          </w:p>
        </w:tc>
        <w:tc>
          <w:tcPr>
            <w:tcW w:w="750" w:type="dxa"/>
            <w:vAlign w:val="center"/>
          </w:tcPr>
          <w:p>
            <w:pPr>
              <w:pStyle w:val="45"/>
              <w:rPr>
                <w:rFonts w:eastAsia="仿宋" w:cs="Times New Roman"/>
                <w:sz w:val="21"/>
                <w:szCs w:val="21"/>
              </w:rPr>
            </w:pPr>
            <w:r>
              <w:rPr>
                <w:rFonts w:hint="eastAsia" w:eastAsia="仿宋" w:cs="Times New Roman"/>
                <w:sz w:val="21"/>
                <w:szCs w:val="21"/>
              </w:rPr>
              <w:t>公顷</w:t>
            </w:r>
          </w:p>
        </w:tc>
        <w:tc>
          <w:tcPr>
            <w:tcW w:w="730" w:type="dxa"/>
            <w:vAlign w:val="center"/>
          </w:tcPr>
          <w:p>
            <w:pPr>
              <w:pStyle w:val="45"/>
              <w:rPr>
                <w:rFonts w:eastAsia="仿宋" w:cs="Times New Roman"/>
                <w:sz w:val="21"/>
                <w:szCs w:val="21"/>
              </w:rPr>
            </w:pPr>
            <w:r>
              <w:rPr>
                <w:rFonts w:hint="eastAsia" w:eastAsia="仿宋" w:cs="Times New Roman"/>
                <w:sz w:val="21"/>
                <w:szCs w:val="21"/>
              </w:rPr>
              <w:t>1</w:t>
            </w:r>
            <w:r>
              <w:rPr>
                <w:rFonts w:eastAsia="仿宋" w:cs="Times New Roman"/>
                <w:sz w:val="21"/>
                <w:szCs w:val="21"/>
              </w:rPr>
              <w:t>45</w:t>
            </w:r>
          </w:p>
        </w:tc>
        <w:tc>
          <w:tcPr>
            <w:tcW w:w="1459" w:type="dxa"/>
            <w:vAlign w:val="center"/>
          </w:tcPr>
          <w:p>
            <w:pPr>
              <w:pStyle w:val="45"/>
              <w:rPr>
                <w:rFonts w:eastAsia="仿宋" w:cs="Times New Roman"/>
                <w:sz w:val="21"/>
                <w:szCs w:val="21"/>
              </w:rPr>
            </w:pPr>
            <w:r>
              <w:rPr>
                <w:rFonts w:hint="eastAsia" w:eastAsia="仿宋" w:cs="Times New Roman"/>
                <w:sz w:val="21"/>
                <w:szCs w:val="21"/>
              </w:rPr>
              <w:t>马鞍岛、乐天岛等</w:t>
            </w: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2730" w:type="dxa"/>
            <w:gridSpan w:val="3"/>
            <w:vAlign w:val="center"/>
          </w:tcPr>
          <w:p>
            <w:pPr>
              <w:pStyle w:val="45"/>
              <w:rPr>
                <w:rFonts w:eastAsia="仿宋" w:cs="Times New Roman"/>
                <w:sz w:val="21"/>
                <w:szCs w:val="21"/>
              </w:rPr>
            </w:pPr>
            <w:r>
              <w:rPr>
                <w:rFonts w:hint="eastAsia" w:eastAsia="仿宋" w:cs="Times New Roman"/>
                <w:sz w:val="21"/>
                <w:szCs w:val="21"/>
              </w:rPr>
              <w:t>水禽栖息地重建</w:t>
            </w:r>
          </w:p>
        </w:tc>
        <w:tc>
          <w:tcPr>
            <w:tcW w:w="750" w:type="dxa"/>
            <w:vAlign w:val="center"/>
          </w:tcPr>
          <w:p>
            <w:pPr>
              <w:pStyle w:val="45"/>
              <w:rPr>
                <w:rFonts w:eastAsia="仿宋" w:cs="Times New Roman"/>
                <w:sz w:val="21"/>
                <w:szCs w:val="21"/>
              </w:rPr>
            </w:pPr>
            <w:r>
              <w:rPr>
                <w:rFonts w:hint="eastAsia" w:eastAsia="仿宋" w:cs="Times New Roman"/>
                <w:sz w:val="21"/>
                <w:szCs w:val="21"/>
              </w:rPr>
              <w:t>公顷</w:t>
            </w:r>
          </w:p>
        </w:tc>
        <w:tc>
          <w:tcPr>
            <w:tcW w:w="730" w:type="dxa"/>
            <w:vAlign w:val="center"/>
          </w:tcPr>
          <w:p>
            <w:pPr>
              <w:pStyle w:val="45"/>
              <w:rPr>
                <w:rFonts w:eastAsia="仿宋" w:cs="Times New Roman"/>
                <w:sz w:val="21"/>
                <w:szCs w:val="21"/>
              </w:rPr>
            </w:pPr>
            <w:r>
              <w:rPr>
                <w:rFonts w:hint="eastAsia" w:eastAsia="仿宋" w:cs="Times New Roman"/>
                <w:sz w:val="21"/>
                <w:szCs w:val="21"/>
              </w:rPr>
              <w:t>7</w:t>
            </w:r>
            <w:r>
              <w:rPr>
                <w:rFonts w:eastAsia="仿宋" w:cs="Times New Roman"/>
                <w:sz w:val="21"/>
                <w:szCs w:val="21"/>
              </w:rPr>
              <w:t>00</w:t>
            </w:r>
          </w:p>
        </w:tc>
        <w:tc>
          <w:tcPr>
            <w:tcW w:w="1459" w:type="dxa"/>
            <w:vAlign w:val="center"/>
          </w:tcPr>
          <w:p>
            <w:pPr>
              <w:pStyle w:val="45"/>
              <w:rPr>
                <w:rFonts w:eastAsia="仿宋" w:cs="Times New Roman"/>
                <w:sz w:val="21"/>
                <w:szCs w:val="21"/>
              </w:rPr>
            </w:pPr>
            <w:r>
              <w:rPr>
                <w:rFonts w:hint="eastAsia" w:eastAsia="仿宋" w:cs="Times New Roman"/>
                <w:sz w:val="21"/>
                <w:szCs w:val="21"/>
              </w:rPr>
              <w:t>毛坪、杨家岗等</w:t>
            </w: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2730" w:type="dxa"/>
            <w:gridSpan w:val="3"/>
            <w:vAlign w:val="center"/>
          </w:tcPr>
          <w:p>
            <w:pPr>
              <w:pStyle w:val="45"/>
              <w:rPr>
                <w:rFonts w:eastAsia="仿宋" w:cs="Times New Roman"/>
                <w:sz w:val="21"/>
                <w:szCs w:val="21"/>
              </w:rPr>
            </w:pPr>
            <w:r>
              <w:rPr>
                <w:rFonts w:hint="eastAsia" w:eastAsia="仿宋" w:cs="Times New Roman"/>
                <w:sz w:val="21"/>
                <w:szCs w:val="21"/>
              </w:rPr>
              <w:t>河岸景观林恢复</w:t>
            </w:r>
          </w:p>
        </w:tc>
        <w:tc>
          <w:tcPr>
            <w:tcW w:w="750" w:type="dxa"/>
            <w:vAlign w:val="center"/>
          </w:tcPr>
          <w:p>
            <w:pPr>
              <w:pStyle w:val="45"/>
              <w:rPr>
                <w:rFonts w:eastAsia="仿宋" w:cs="Times New Roman"/>
                <w:sz w:val="21"/>
                <w:szCs w:val="21"/>
              </w:rPr>
            </w:pPr>
            <w:r>
              <w:rPr>
                <w:rFonts w:hint="eastAsia" w:eastAsia="仿宋" w:cs="Times New Roman"/>
                <w:sz w:val="21"/>
                <w:szCs w:val="21"/>
              </w:rPr>
              <w:t>公顷</w:t>
            </w:r>
          </w:p>
        </w:tc>
        <w:tc>
          <w:tcPr>
            <w:tcW w:w="730" w:type="dxa"/>
            <w:vAlign w:val="center"/>
          </w:tcPr>
          <w:p>
            <w:pPr>
              <w:pStyle w:val="45"/>
              <w:rPr>
                <w:rFonts w:eastAsia="仿宋" w:cs="Times New Roman"/>
                <w:sz w:val="21"/>
                <w:szCs w:val="21"/>
              </w:rPr>
            </w:pPr>
            <w:r>
              <w:rPr>
                <w:rFonts w:eastAsia="仿宋" w:cs="Times New Roman"/>
                <w:sz w:val="21"/>
                <w:szCs w:val="21"/>
              </w:rPr>
              <w:t>100</w:t>
            </w:r>
          </w:p>
        </w:tc>
        <w:tc>
          <w:tcPr>
            <w:tcW w:w="1459" w:type="dxa"/>
            <w:vAlign w:val="center"/>
          </w:tcPr>
          <w:p>
            <w:pPr>
              <w:pStyle w:val="45"/>
              <w:rPr>
                <w:rFonts w:eastAsia="仿宋" w:cs="Times New Roman"/>
                <w:sz w:val="21"/>
                <w:szCs w:val="21"/>
              </w:rPr>
            </w:pPr>
            <w:r>
              <w:rPr>
                <w:rFonts w:hint="eastAsia" w:eastAsia="仿宋" w:cs="Times New Roman"/>
                <w:sz w:val="21"/>
                <w:szCs w:val="21"/>
              </w:rPr>
              <w:t>仙阳湖南北岸林地</w:t>
            </w: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2730" w:type="dxa"/>
            <w:gridSpan w:val="3"/>
            <w:vAlign w:val="center"/>
          </w:tcPr>
          <w:p>
            <w:pPr>
              <w:pStyle w:val="45"/>
              <w:rPr>
                <w:rFonts w:eastAsia="仿宋" w:cs="Times New Roman"/>
                <w:sz w:val="21"/>
                <w:szCs w:val="21"/>
              </w:rPr>
            </w:pPr>
            <w:r>
              <w:rPr>
                <w:rFonts w:hint="eastAsia" w:eastAsia="仿宋" w:cs="Times New Roman"/>
                <w:sz w:val="21"/>
                <w:szCs w:val="21"/>
              </w:rPr>
              <w:t>鱼类增殖放流</w:t>
            </w:r>
          </w:p>
        </w:tc>
        <w:tc>
          <w:tcPr>
            <w:tcW w:w="750" w:type="dxa"/>
            <w:vAlign w:val="center"/>
          </w:tcPr>
          <w:p>
            <w:pPr>
              <w:pStyle w:val="45"/>
              <w:rPr>
                <w:rFonts w:eastAsia="仿宋" w:cs="Times New Roman"/>
                <w:sz w:val="21"/>
                <w:szCs w:val="21"/>
              </w:rPr>
            </w:pPr>
            <w:r>
              <w:rPr>
                <w:rFonts w:hint="eastAsia" w:eastAsia="仿宋" w:cs="Times New Roman"/>
                <w:sz w:val="21"/>
                <w:szCs w:val="21"/>
              </w:rPr>
              <w:t>项</w:t>
            </w:r>
          </w:p>
        </w:tc>
        <w:tc>
          <w:tcPr>
            <w:tcW w:w="730" w:type="dxa"/>
            <w:vAlign w:val="center"/>
          </w:tcPr>
          <w:p>
            <w:pPr>
              <w:pStyle w:val="45"/>
              <w:rPr>
                <w:rFonts w:eastAsia="仿宋" w:cs="Times New Roman"/>
                <w:sz w:val="21"/>
                <w:szCs w:val="21"/>
              </w:rPr>
            </w:pPr>
            <w:r>
              <w:rPr>
                <w:rFonts w:eastAsia="仿宋" w:cs="Times New Roman"/>
                <w:sz w:val="21"/>
                <w:szCs w:val="21"/>
              </w:rPr>
              <w:t>1</w:t>
            </w:r>
          </w:p>
        </w:tc>
        <w:tc>
          <w:tcPr>
            <w:tcW w:w="1459" w:type="dxa"/>
            <w:vAlign w:val="center"/>
          </w:tcPr>
          <w:p>
            <w:pPr>
              <w:pStyle w:val="45"/>
              <w:rPr>
                <w:rFonts w:eastAsia="仿宋" w:cs="Times New Roman"/>
                <w:sz w:val="21"/>
                <w:szCs w:val="21"/>
              </w:rPr>
            </w:pPr>
            <w:r>
              <w:rPr>
                <w:rFonts w:hint="eastAsia" w:eastAsia="仿宋" w:cs="Times New Roman"/>
                <w:sz w:val="21"/>
                <w:szCs w:val="21"/>
              </w:rPr>
              <w:t>湿地公园</w:t>
            </w: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2730" w:type="dxa"/>
            <w:gridSpan w:val="3"/>
            <w:vAlign w:val="center"/>
          </w:tcPr>
          <w:p>
            <w:pPr>
              <w:pStyle w:val="45"/>
              <w:rPr>
                <w:rFonts w:eastAsia="仿宋" w:cs="Times New Roman"/>
                <w:sz w:val="21"/>
                <w:szCs w:val="21"/>
              </w:rPr>
            </w:pPr>
            <w:r>
              <w:rPr>
                <w:rFonts w:hint="eastAsia" w:eastAsia="仿宋" w:cs="Times New Roman"/>
                <w:sz w:val="21"/>
                <w:szCs w:val="21"/>
              </w:rPr>
              <w:t>杨树林改造</w:t>
            </w:r>
          </w:p>
        </w:tc>
        <w:tc>
          <w:tcPr>
            <w:tcW w:w="750" w:type="dxa"/>
            <w:vAlign w:val="center"/>
          </w:tcPr>
          <w:p>
            <w:pPr>
              <w:pStyle w:val="45"/>
              <w:rPr>
                <w:rFonts w:eastAsia="仿宋" w:cs="Times New Roman"/>
                <w:sz w:val="21"/>
                <w:szCs w:val="21"/>
              </w:rPr>
            </w:pPr>
            <w:r>
              <w:rPr>
                <w:rFonts w:hint="eastAsia" w:eastAsia="仿宋" w:cs="Times New Roman"/>
                <w:sz w:val="21"/>
                <w:szCs w:val="21"/>
              </w:rPr>
              <w:t>公顷</w:t>
            </w:r>
          </w:p>
        </w:tc>
        <w:tc>
          <w:tcPr>
            <w:tcW w:w="730" w:type="dxa"/>
            <w:vAlign w:val="center"/>
          </w:tcPr>
          <w:p>
            <w:pPr>
              <w:pStyle w:val="45"/>
              <w:rPr>
                <w:rFonts w:eastAsia="仿宋" w:cs="Times New Roman"/>
                <w:sz w:val="21"/>
                <w:szCs w:val="21"/>
              </w:rPr>
            </w:pPr>
            <w:r>
              <w:rPr>
                <w:rFonts w:eastAsia="仿宋" w:cs="Times New Roman"/>
                <w:sz w:val="21"/>
                <w:szCs w:val="21"/>
              </w:rPr>
              <w:t>50</w:t>
            </w:r>
          </w:p>
        </w:tc>
        <w:tc>
          <w:tcPr>
            <w:tcW w:w="1459" w:type="dxa"/>
            <w:vAlign w:val="center"/>
          </w:tcPr>
          <w:p>
            <w:pPr>
              <w:pStyle w:val="45"/>
              <w:rPr>
                <w:rFonts w:eastAsia="仿宋" w:cs="Times New Roman"/>
                <w:sz w:val="21"/>
                <w:szCs w:val="21"/>
              </w:rPr>
            </w:pPr>
            <w:r>
              <w:rPr>
                <w:rFonts w:hint="eastAsia" w:eastAsia="仿宋" w:cs="Times New Roman"/>
                <w:sz w:val="21"/>
                <w:szCs w:val="21"/>
              </w:rPr>
              <w:t>皂市、磨市区域</w:t>
            </w: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2730" w:type="dxa"/>
            <w:gridSpan w:val="3"/>
            <w:vAlign w:val="center"/>
          </w:tcPr>
          <w:p>
            <w:pPr>
              <w:pStyle w:val="45"/>
              <w:rPr>
                <w:rFonts w:eastAsia="仿宋" w:cs="Times New Roman"/>
                <w:sz w:val="21"/>
                <w:szCs w:val="21"/>
              </w:rPr>
            </w:pPr>
            <w:r>
              <w:rPr>
                <w:rFonts w:hint="eastAsia" w:eastAsia="仿宋" w:cs="Times New Roman"/>
                <w:sz w:val="21"/>
                <w:szCs w:val="21"/>
              </w:rPr>
              <w:t>野生动物救助站建设</w:t>
            </w:r>
          </w:p>
        </w:tc>
        <w:tc>
          <w:tcPr>
            <w:tcW w:w="750" w:type="dxa"/>
            <w:vAlign w:val="center"/>
          </w:tcPr>
          <w:p>
            <w:pPr>
              <w:pStyle w:val="45"/>
              <w:rPr>
                <w:rFonts w:eastAsia="仿宋" w:cs="Times New Roman"/>
                <w:sz w:val="21"/>
                <w:szCs w:val="21"/>
              </w:rPr>
            </w:pPr>
            <w:r>
              <w:rPr>
                <w:rFonts w:hint="eastAsia" w:eastAsia="仿宋" w:cs="Times New Roman"/>
                <w:sz w:val="21"/>
                <w:szCs w:val="21"/>
              </w:rPr>
              <w:t>平方米</w:t>
            </w:r>
          </w:p>
        </w:tc>
        <w:tc>
          <w:tcPr>
            <w:tcW w:w="730" w:type="dxa"/>
            <w:vAlign w:val="center"/>
          </w:tcPr>
          <w:p>
            <w:pPr>
              <w:pStyle w:val="45"/>
              <w:rPr>
                <w:rFonts w:eastAsia="仿宋" w:cs="Times New Roman"/>
                <w:sz w:val="21"/>
                <w:szCs w:val="21"/>
              </w:rPr>
            </w:pPr>
            <w:r>
              <w:rPr>
                <w:rFonts w:hint="eastAsia" w:eastAsia="仿宋" w:cs="Times New Roman"/>
                <w:sz w:val="21"/>
                <w:szCs w:val="21"/>
              </w:rPr>
              <w:t>30</w:t>
            </w:r>
            <w:r>
              <w:rPr>
                <w:rFonts w:eastAsia="仿宋" w:cs="Times New Roman"/>
                <w:sz w:val="21"/>
                <w:szCs w:val="21"/>
              </w:rPr>
              <w:t>0</w:t>
            </w:r>
          </w:p>
        </w:tc>
        <w:tc>
          <w:tcPr>
            <w:tcW w:w="1459" w:type="dxa"/>
            <w:vAlign w:val="center"/>
          </w:tcPr>
          <w:p>
            <w:pPr>
              <w:pStyle w:val="45"/>
              <w:rPr>
                <w:rFonts w:eastAsia="仿宋" w:cs="Times New Roman"/>
                <w:sz w:val="21"/>
                <w:szCs w:val="21"/>
              </w:rPr>
            </w:pPr>
            <w:r>
              <w:rPr>
                <w:rFonts w:hint="eastAsia" w:eastAsia="仿宋" w:cs="Times New Roman"/>
                <w:sz w:val="21"/>
                <w:szCs w:val="21"/>
              </w:rPr>
              <w:t>彭家堡</w:t>
            </w: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2730" w:type="dxa"/>
            <w:gridSpan w:val="3"/>
            <w:vAlign w:val="center"/>
          </w:tcPr>
          <w:p>
            <w:pPr>
              <w:pStyle w:val="45"/>
              <w:rPr>
                <w:rFonts w:eastAsia="仿宋" w:cs="Times New Roman"/>
                <w:sz w:val="21"/>
                <w:szCs w:val="21"/>
              </w:rPr>
            </w:pPr>
            <w:r>
              <w:rPr>
                <w:rFonts w:hint="eastAsia" w:eastAsia="仿宋" w:cs="Times New Roman"/>
                <w:sz w:val="21"/>
                <w:szCs w:val="21"/>
              </w:rPr>
              <w:t>野生动物救护设备</w:t>
            </w:r>
          </w:p>
        </w:tc>
        <w:tc>
          <w:tcPr>
            <w:tcW w:w="750" w:type="dxa"/>
            <w:vAlign w:val="center"/>
          </w:tcPr>
          <w:p>
            <w:pPr>
              <w:pStyle w:val="45"/>
              <w:rPr>
                <w:rFonts w:eastAsia="仿宋" w:cs="Times New Roman"/>
                <w:sz w:val="21"/>
                <w:szCs w:val="21"/>
              </w:rPr>
            </w:pPr>
            <w:r>
              <w:rPr>
                <w:rFonts w:hint="eastAsia" w:eastAsia="仿宋" w:cs="Times New Roman"/>
                <w:sz w:val="21"/>
                <w:szCs w:val="21"/>
              </w:rPr>
              <w:t>套</w:t>
            </w:r>
          </w:p>
        </w:tc>
        <w:tc>
          <w:tcPr>
            <w:tcW w:w="730" w:type="dxa"/>
            <w:vAlign w:val="center"/>
          </w:tcPr>
          <w:p>
            <w:pPr>
              <w:pStyle w:val="45"/>
              <w:rPr>
                <w:rFonts w:eastAsia="仿宋" w:cs="Times New Roman"/>
                <w:sz w:val="21"/>
                <w:szCs w:val="21"/>
              </w:rPr>
            </w:pPr>
            <w:r>
              <w:rPr>
                <w:rFonts w:hint="eastAsia" w:eastAsia="仿宋" w:cs="Times New Roman"/>
                <w:sz w:val="21"/>
                <w:szCs w:val="21"/>
              </w:rPr>
              <w:t>1</w:t>
            </w:r>
          </w:p>
        </w:tc>
        <w:tc>
          <w:tcPr>
            <w:tcW w:w="1459" w:type="dxa"/>
            <w:vAlign w:val="center"/>
          </w:tcPr>
          <w:p>
            <w:pPr>
              <w:pStyle w:val="45"/>
              <w:rPr>
                <w:rFonts w:eastAsia="仿宋" w:cs="Times New Roman"/>
                <w:sz w:val="21"/>
                <w:szCs w:val="21"/>
              </w:rPr>
            </w:pP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restart"/>
            <w:vAlign w:val="center"/>
          </w:tcPr>
          <w:p>
            <w:pPr>
              <w:pStyle w:val="45"/>
              <w:rPr>
                <w:rFonts w:eastAsia="仿宋" w:cs="Times New Roman"/>
                <w:sz w:val="21"/>
                <w:szCs w:val="21"/>
              </w:rPr>
            </w:pPr>
            <w:r>
              <w:rPr>
                <w:rFonts w:eastAsia="仿宋" w:cs="Times New Roman"/>
                <w:sz w:val="21"/>
                <w:szCs w:val="21"/>
              </w:rPr>
              <w:t>5</w:t>
            </w:r>
          </w:p>
        </w:tc>
        <w:tc>
          <w:tcPr>
            <w:tcW w:w="1050" w:type="dxa"/>
            <w:vMerge w:val="restart"/>
            <w:vAlign w:val="center"/>
          </w:tcPr>
          <w:p>
            <w:pPr>
              <w:pStyle w:val="45"/>
              <w:rPr>
                <w:rFonts w:eastAsia="仿宋" w:cs="Times New Roman"/>
                <w:sz w:val="21"/>
                <w:szCs w:val="21"/>
              </w:rPr>
            </w:pPr>
            <w:r>
              <w:rPr>
                <w:rFonts w:hint="eastAsia" w:eastAsia="仿宋" w:cs="Times New Roman"/>
                <w:sz w:val="21"/>
                <w:szCs w:val="21"/>
              </w:rPr>
              <w:t>其他保护规划</w:t>
            </w:r>
          </w:p>
        </w:tc>
        <w:tc>
          <w:tcPr>
            <w:tcW w:w="960" w:type="dxa"/>
            <w:vMerge w:val="restart"/>
            <w:vAlign w:val="center"/>
          </w:tcPr>
          <w:p>
            <w:pPr>
              <w:pStyle w:val="45"/>
              <w:rPr>
                <w:rFonts w:eastAsia="仿宋" w:cs="Times New Roman"/>
                <w:sz w:val="21"/>
                <w:szCs w:val="21"/>
              </w:rPr>
            </w:pPr>
            <w:r>
              <w:rPr>
                <w:rFonts w:hint="eastAsia" w:eastAsia="仿宋" w:cs="Times New Roman"/>
                <w:sz w:val="21"/>
                <w:szCs w:val="21"/>
              </w:rPr>
              <w:t>勘界立标</w:t>
            </w:r>
          </w:p>
        </w:tc>
        <w:tc>
          <w:tcPr>
            <w:tcW w:w="1770" w:type="dxa"/>
            <w:gridSpan w:val="2"/>
            <w:vAlign w:val="center"/>
          </w:tcPr>
          <w:p>
            <w:pPr>
              <w:pStyle w:val="45"/>
              <w:rPr>
                <w:rFonts w:eastAsia="仿宋" w:cs="Times New Roman"/>
                <w:sz w:val="21"/>
                <w:szCs w:val="21"/>
              </w:rPr>
            </w:pPr>
            <w:r>
              <w:rPr>
                <w:rFonts w:hint="eastAsia" w:eastAsia="仿宋" w:cs="Times New Roman"/>
                <w:sz w:val="21"/>
                <w:szCs w:val="21"/>
              </w:rPr>
              <w:t>界碑</w:t>
            </w:r>
          </w:p>
        </w:tc>
        <w:tc>
          <w:tcPr>
            <w:tcW w:w="750" w:type="dxa"/>
            <w:vAlign w:val="center"/>
          </w:tcPr>
          <w:p>
            <w:pPr>
              <w:pStyle w:val="45"/>
              <w:rPr>
                <w:rFonts w:eastAsia="仿宋" w:cs="Times New Roman"/>
                <w:sz w:val="21"/>
                <w:szCs w:val="21"/>
              </w:rPr>
            </w:pPr>
            <w:r>
              <w:rPr>
                <w:rFonts w:hint="eastAsia" w:eastAsia="仿宋" w:cs="Times New Roman"/>
                <w:sz w:val="21"/>
                <w:szCs w:val="21"/>
              </w:rPr>
              <w:t>块</w:t>
            </w:r>
          </w:p>
        </w:tc>
        <w:tc>
          <w:tcPr>
            <w:tcW w:w="730" w:type="dxa"/>
            <w:vAlign w:val="center"/>
          </w:tcPr>
          <w:p>
            <w:pPr>
              <w:pStyle w:val="45"/>
              <w:rPr>
                <w:rFonts w:eastAsia="仿宋" w:cs="Times New Roman"/>
                <w:sz w:val="21"/>
                <w:szCs w:val="21"/>
              </w:rPr>
            </w:pPr>
            <w:r>
              <w:rPr>
                <w:rFonts w:hint="eastAsia" w:eastAsia="仿宋" w:cs="Times New Roman"/>
                <w:sz w:val="21"/>
                <w:szCs w:val="21"/>
              </w:rPr>
              <w:t>10</w:t>
            </w:r>
          </w:p>
        </w:tc>
        <w:tc>
          <w:tcPr>
            <w:tcW w:w="1459" w:type="dxa"/>
            <w:vAlign w:val="center"/>
          </w:tcPr>
          <w:p>
            <w:pPr>
              <w:pStyle w:val="45"/>
              <w:jc w:val="both"/>
              <w:rPr>
                <w:rFonts w:eastAsia="仿宋" w:cs="Times New Roman"/>
                <w:sz w:val="21"/>
                <w:szCs w:val="21"/>
              </w:rPr>
            </w:pPr>
            <w:r>
              <w:rPr>
                <w:rFonts w:hint="eastAsia" w:eastAsia="仿宋" w:cs="Times New Roman"/>
                <w:sz w:val="21"/>
                <w:szCs w:val="21"/>
              </w:rPr>
              <w:t>湿地公园边界</w:t>
            </w: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960" w:type="dxa"/>
            <w:vMerge w:val="continue"/>
            <w:vAlign w:val="center"/>
          </w:tcPr>
          <w:p>
            <w:pPr>
              <w:pStyle w:val="45"/>
              <w:rPr>
                <w:rFonts w:eastAsia="仿宋" w:cs="Times New Roman"/>
                <w:sz w:val="21"/>
                <w:szCs w:val="21"/>
              </w:rPr>
            </w:pPr>
          </w:p>
        </w:tc>
        <w:tc>
          <w:tcPr>
            <w:tcW w:w="1770" w:type="dxa"/>
            <w:gridSpan w:val="2"/>
            <w:vAlign w:val="center"/>
          </w:tcPr>
          <w:p>
            <w:pPr>
              <w:pStyle w:val="45"/>
              <w:rPr>
                <w:rFonts w:eastAsia="仿宋" w:cs="Times New Roman"/>
                <w:sz w:val="21"/>
                <w:szCs w:val="21"/>
              </w:rPr>
            </w:pPr>
            <w:r>
              <w:rPr>
                <w:rFonts w:hint="eastAsia" w:eastAsia="仿宋" w:cs="Times New Roman"/>
                <w:sz w:val="21"/>
                <w:szCs w:val="21"/>
              </w:rPr>
              <w:t>界桩</w:t>
            </w:r>
          </w:p>
        </w:tc>
        <w:tc>
          <w:tcPr>
            <w:tcW w:w="750" w:type="dxa"/>
            <w:vAlign w:val="center"/>
          </w:tcPr>
          <w:p>
            <w:pPr>
              <w:pStyle w:val="45"/>
              <w:rPr>
                <w:rFonts w:eastAsia="仿宋" w:cs="Times New Roman"/>
                <w:sz w:val="21"/>
                <w:szCs w:val="21"/>
              </w:rPr>
            </w:pPr>
            <w:r>
              <w:rPr>
                <w:rFonts w:hint="eastAsia" w:eastAsia="仿宋" w:cs="Times New Roman"/>
                <w:sz w:val="21"/>
                <w:szCs w:val="21"/>
              </w:rPr>
              <w:t>块</w:t>
            </w:r>
          </w:p>
        </w:tc>
        <w:tc>
          <w:tcPr>
            <w:tcW w:w="730" w:type="dxa"/>
            <w:vAlign w:val="center"/>
          </w:tcPr>
          <w:p>
            <w:pPr>
              <w:pStyle w:val="45"/>
              <w:rPr>
                <w:rFonts w:eastAsia="仿宋" w:cs="Times New Roman"/>
                <w:sz w:val="21"/>
                <w:szCs w:val="21"/>
              </w:rPr>
            </w:pPr>
            <w:r>
              <w:rPr>
                <w:rFonts w:hint="eastAsia" w:eastAsia="仿宋" w:cs="Times New Roman"/>
                <w:sz w:val="21"/>
                <w:szCs w:val="21"/>
              </w:rPr>
              <w:t>6</w:t>
            </w:r>
            <w:r>
              <w:rPr>
                <w:rFonts w:eastAsia="仿宋" w:cs="Times New Roman"/>
                <w:sz w:val="21"/>
                <w:szCs w:val="21"/>
              </w:rPr>
              <w:t>00</w:t>
            </w:r>
          </w:p>
        </w:tc>
        <w:tc>
          <w:tcPr>
            <w:tcW w:w="1459" w:type="dxa"/>
            <w:vAlign w:val="center"/>
          </w:tcPr>
          <w:p>
            <w:pPr>
              <w:pStyle w:val="45"/>
              <w:rPr>
                <w:rFonts w:eastAsia="仿宋" w:cs="Times New Roman"/>
                <w:sz w:val="21"/>
                <w:szCs w:val="21"/>
              </w:rPr>
            </w:pPr>
            <w:r>
              <w:rPr>
                <w:rFonts w:hint="eastAsia" w:eastAsia="仿宋" w:cs="Times New Roman"/>
                <w:sz w:val="21"/>
                <w:szCs w:val="21"/>
              </w:rPr>
              <w:t>湿地公园边界</w:t>
            </w: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960" w:type="dxa"/>
            <w:vMerge w:val="continue"/>
            <w:vAlign w:val="center"/>
          </w:tcPr>
          <w:p>
            <w:pPr>
              <w:pStyle w:val="45"/>
              <w:rPr>
                <w:rFonts w:eastAsia="仿宋" w:cs="Times New Roman"/>
                <w:sz w:val="21"/>
                <w:szCs w:val="21"/>
              </w:rPr>
            </w:pPr>
          </w:p>
        </w:tc>
        <w:tc>
          <w:tcPr>
            <w:tcW w:w="1770" w:type="dxa"/>
            <w:gridSpan w:val="2"/>
            <w:vAlign w:val="center"/>
          </w:tcPr>
          <w:p>
            <w:pPr>
              <w:pStyle w:val="45"/>
              <w:rPr>
                <w:rFonts w:eastAsia="仿宋" w:cs="Times New Roman"/>
                <w:sz w:val="21"/>
                <w:szCs w:val="21"/>
              </w:rPr>
            </w:pPr>
            <w:r>
              <w:rPr>
                <w:rFonts w:hint="eastAsia" w:eastAsia="仿宋" w:cs="Times New Roman"/>
                <w:sz w:val="21"/>
                <w:szCs w:val="21"/>
              </w:rPr>
              <w:t>标示牌</w:t>
            </w:r>
          </w:p>
        </w:tc>
        <w:tc>
          <w:tcPr>
            <w:tcW w:w="750" w:type="dxa"/>
            <w:vAlign w:val="center"/>
          </w:tcPr>
          <w:p>
            <w:pPr>
              <w:pStyle w:val="45"/>
              <w:rPr>
                <w:rFonts w:eastAsia="仿宋" w:cs="Times New Roman"/>
                <w:sz w:val="21"/>
                <w:szCs w:val="21"/>
              </w:rPr>
            </w:pPr>
            <w:r>
              <w:rPr>
                <w:rFonts w:hint="eastAsia" w:eastAsia="仿宋" w:cs="Times New Roman"/>
                <w:sz w:val="21"/>
                <w:szCs w:val="21"/>
              </w:rPr>
              <w:t>块</w:t>
            </w:r>
          </w:p>
        </w:tc>
        <w:tc>
          <w:tcPr>
            <w:tcW w:w="730" w:type="dxa"/>
            <w:vAlign w:val="center"/>
          </w:tcPr>
          <w:p>
            <w:pPr>
              <w:pStyle w:val="45"/>
              <w:rPr>
                <w:rFonts w:eastAsia="仿宋" w:cs="Times New Roman"/>
                <w:sz w:val="21"/>
                <w:szCs w:val="21"/>
              </w:rPr>
            </w:pPr>
            <w:r>
              <w:rPr>
                <w:rFonts w:hint="eastAsia" w:eastAsia="仿宋" w:cs="Times New Roman"/>
                <w:sz w:val="21"/>
                <w:szCs w:val="21"/>
              </w:rPr>
              <w:t>36</w:t>
            </w:r>
            <w:r>
              <w:rPr>
                <w:rFonts w:eastAsia="仿宋" w:cs="Times New Roman"/>
                <w:sz w:val="21"/>
                <w:szCs w:val="21"/>
              </w:rPr>
              <w:t>0</w:t>
            </w:r>
          </w:p>
        </w:tc>
        <w:tc>
          <w:tcPr>
            <w:tcW w:w="1459" w:type="dxa"/>
            <w:vAlign w:val="center"/>
          </w:tcPr>
          <w:p>
            <w:pPr>
              <w:pStyle w:val="45"/>
              <w:rPr>
                <w:rFonts w:eastAsia="仿宋" w:cs="Times New Roman"/>
                <w:sz w:val="21"/>
                <w:szCs w:val="21"/>
              </w:rPr>
            </w:pPr>
            <w:r>
              <w:rPr>
                <w:rFonts w:hint="eastAsia" w:eastAsia="仿宋" w:cs="Times New Roman"/>
                <w:sz w:val="21"/>
                <w:szCs w:val="21"/>
              </w:rPr>
              <w:t>仙阳湖周边</w:t>
            </w: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960" w:type="dxa"/>
            <w:vMerge w:val="restart"/>
            <w:vAlign w:val="center"/>
          </w:tcPr>
          <w:p>
            <w:pPr>
              <w:pStyle w:val="45"/>
              <w:rPr>
                <w:rFonts w:eastAsia="仿宋" w:cs="Times New Roman"/>
                <w:sz w:val="21"/>
                <w:szCs w:val="21"/>
              </w:rPr>
            </w:pPr>
            <w:r>
              <w:rPr>
                <w:rFonts w:hint="eastAsia" w:eastAsia="仿宋" w:cs="Times New Roman"/>
                <w:sz w:val="21"/>
                <w:szCs w:val="21"/>
              </w:rPr>
              <w:t>管理能力建设规划</w:t>
            </w:r>
          </w:p>
        </w:tc>
        <w:tc>
          <w:tcPr>
            <w:tcW w:w="1770" w:type="dxa"/>
            <w:gridSpan w:val="2"/>
            <w:vAlign w:val="center"/>
          </w:tcPr>
          <w:p>
            <w:pPr>
              <w:pStyle w:val="45"/>
              <w:rPr>
                <w:rFonts w:eastAsia="仿宋" w:cs="Times New Roman"/>
                <w:sz w:val="21"/>
                <w:szCs w:val="21"/>
              </w:rPr>
            </w:pPr>
            <w:r>
              <w:rPr>
                <w:rFonts w:hint="eastAsia" w:eastAsia="仿宋" w:cs="Times New Roman"/>
                <w:sz w:val="21"/>
                <w:szCs w:val="21"/>
              </w:rPr>
              <w:t>视频监控系统建设</w:t>
            </w:r>
          </w:p>
        </w:tc>
        <w:tc>
          <w:tcPr>
            <w:tcW w:w="750" w:type="dxa"/>
            <w:vAlign w:val="center"/>
          </w:tcPr>
          <w:p>
            <w:pPr>
              <w:pStyle w:val="45"/>
              <w:rPr>
                <w:rFonts w:eastAsia="仿宋" w:cs="Times New Roman"/>
                <w:sz w:val="21"/>
                <w:szCs w:val="21"/>
              </w:rPr>
            </w:pPr>
            <w:r>
              <w:rPr>
                <w:rFonts w:hint="eastAsia" w:eastAsia="仿宋" w:cs="Times New Roman"/>
                <w:sz w:val="21"/>
                <w:szCs w:val="21"/>
              </w:rPr>
              <w:t>项</w:t>
            </w:r>
          </w:p>
        </w:tc>
        <w:tc>
          <w:tcPr>
            <w:tcW w:w="730" w:type="dxa"/>
            <w:vAlign w:val="center"/>
          </w:tcPr>
          <w:p>
            <w:pPr>
              <w:pStyle w:val="45"/>
              <w:rPr>
                <w:rFonts w:eastAsia="仿宋" w:cs="Times New Roman"/>
                <w:sz w:val="21"/>
                <w:szCs w:val="21"/>
              </w:rPr>
            </w:pPr>
            <w:r>
              <w:rPr>
                <w:rFonts w:eastAsia="仿宋" w:cs="Times New Roman"/>
                <w:sz w:val="21"/>
                <w:szCs w:val="21"/>
              </w:rPr>
              <w:t>1</w:t>
            </w:r>
          </w:p>
        </w:tc>
        <w:tc>
          <w:tcPr>
            <w:tcW w:w="1459" w:type="dxa"/>
            <w:vAlign w:val="center"/>
          </w:tcPr>
          <w:p>
            <w:pPr>
              <w:pStyle w:val="45"/>
              <w:rPr>
                <w:rFonts w:eastAsia="仿宋" w:cs="Times New Roman"/>
                <w:sz w:val="21"/>
                <w:szCs w:val="21"/>
              </w:rPr>
            </w:pPr>
          </w:p>
        </w:tc>
        <w:tc>
          <w:tcPr>
            <w:tcW w:w="691" w:type="dxa"/>
            <w:vAlign w:val="center"/>
          </w:tcPr>
          <w:p>
            <w:pPr>
              <w:pStyle w:val="45"/>
              <w:rPr>
                <w:rFonts w:eastAsia="仿宋" w:cs="Times New Roman"/>
                <w:sz w:val="21"/>
                <w:szCs w:val="21"/>
              </w:rPr>
            </w:pPr>
          </w:p>
        </w:tc>
        <w:tc>
          <w:tcPr>
            <w:tcW w:w="6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960" w:type="dxa"/>
            <w:vMerge w:val="continue"/>
            <w:vAlign w:val="center"/>
          </w:tcPr>
          <w:p>
            <w:pPr>
              <w:pStyle w:val="45"/>
              <w:rPr>
                <w:rFonts w:eastAsia="仿宋" w:cs="Times New Roman"/>
                <w:sz w:val="21"/>
                <w:szCs w:val="21"/>
              </w:rPr>
            </w:pPr>
          </w:p>
        </w:tc>
        <w:tc>
          <w:tcPr>
            <w:tcW w:w="1770" w:type="dxa"/>
            <w:gridSpan w:val="2"/>
            <w:vAlign w:val="center"/>
          </w:tcPr>
          <w:p>
            <w:pPr>
              <w:pStyle w:val="45"/>
              <w:rPr>
                <w:rFonts w:eastAsia="仿宋" w:cs="Times New Roman"/>
                <w:sz w:val="21"/>
                <w:szCs w:val="21"/>
              </w:rPr>
            </w:pPr>
            <w:r>
              <w:rPr>
                <w:rFonts w:hint="eastAsia" w:eastAsia="仿宋" w:cs="Times New Roman"/>
                <w:sz w:val="21"/>
                <w:szCs w:val="21"/>
              </w:rPr>
              <w:t>业务培训</w:t>
            </w:r>
          </w:p>
        </w:tc>
        <w:tc>
          <w:tcPr>
            <w:tcW w:w="750" w:type="dxa"/>
            <w:vAlign w:val="center"/>
          </w:tcPr>
          <w:p>
            <w:pPr>
              <w:pStyle w:val="45"/>
              <w:rPr>
                <w:rFonts w:eastAsia="仿宋" w:cs="Times New Roman"/>
                <w:sz w:val="21"/>
                <w:szCs w:val="21"/>
              </w:rPr>
            </w:pPr>
            <w:r>
              <w:rPr>
                <w:rFonts w:hint="eastAsia" w:eastAsia="仿宋" w:cs="Times New Roman"/>
                <w:sz w:val="21"/>
                <w:szCs w:val="21"/>
              </w:rPr>
              <w:t>次</w:t>
            </w:r>
          </w:p>
        </w:tc>
        <w:tc>
          <w:tcPr>
            <w:tcW w:w="730" w:type="dxa"/>
            <w:vAlign w:val="center"/>
          </w:tcPr>
          <w:p>
            <w:pPr>
              <w:pStyle w:val="45"/>
              <w:rPr>
                <w:rFonts w:eastAsia="仿宋" w:cs="Times New Roman"/>
                <w:sz w:val="21"/>
                <w:szCs w:val="21"/>
              </w:rPr>
            </w:pPr>
            <w:r>
              <w:rPr>
                <w:rFonts w:hint="eastAsia" w:eastAsia="仿宋" w:cs="Times New Roman"/>
                <w:sz w:val="21"/>
                <w:szCs w:val="21"/>
              </w:rPr>
              <w:t>8</w:t>
            </w:r>
          </w:p>
        </w:tc>
        <w:tc>
          <w:tcPr>
            <w:tcW w:w="1459" w:type="dxa"/>
            <w:vAlign w:val="center"/>
          </w:tcPr>
          <w:p>
            <w:pPr>
              <w:pStyle w:val="45"/>
              <w:rPr>
                <w:rFonts w:eastAsia="仿宋" w:cs="Times New Roman"/>
                <w:sz w:val="21"/>
                <w:szCs w:val="21"/>
              </w:rPr>
            </w:pP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960" w:type="dxa"/>
            <w:vMerge w:val="continue"/>
            <w:vAlign w:val="center"/>
          </w:tcPr>
          <w:p>
            <w:pPr>
              <w:pStyle w:val="45"/>
              <w:rPr>
                <w:rFonts w:eastAsia="仿宋" w:cs="Times New Roman"/>
                <w:sz w:val="21"/>
                <w:szCs w:val="21"/>
              </w:rPr>
            </w:pPr>
          </w:p>
        </w:tc>
        <w:tc>
          <w:tcPr>
            <w:tcW w:w="1770" w:type="dxa"/>
            <w:gridSpan w:val="2"/>
            <w:vAlign w:val="center"/>
          </w:tcPr>
          <w:p>
            <w:pPr>
              <w:pStyle w:val="45"/>
              <w:rPr>
                <w:rFonts w:eastAsia="仿宋" w:cs="Times New Roman"/>
                <w:sz w:val="21"/>
                <w:szCs w:val="21"/>
              </w:rPr>
            </w:pPr>
            <w:r>
              <w:rPr>
                <w:rFonts w:hint="eastAsia" w:eastAsia="仿宋" w:cs="Times New Roman"/>
                <w:sz w:val="21"/>
                <w:szCs w:val="21"/>
              </w:rPr>
              <w:t>技能培训</w:t>
            </w:r>
          </w:p>
        </w:tc>
        <w:tc>
          <w:tcPr>
            <w:tcW w:w="750" w:type="dxa"/>
            <w:vAlign w:val="center"/>
          </w:tcPr>
          <w:p>
            <w:pPr>
              <w:pStyle w:val="45"/>
              <w:rPr>
                <w:rFonts w:eastAsia="仿宋" w:cs="Times New Roman"/>
                <w:sz w:val="21"/>
                <w:szCs w:val="21"/>
              </w:rPr>
            </w:pPr>
            <w:r>
              <w:rPr>
                <w:rFonts w:hint="eastAsia" w:eastAsia="仿宋" w:cs="Times New Roman"/>
                <w:sz w:val="21"/>
                <w:szCs w:val="21"/>
              </w:rPr>
              <w:t>次</w:t>
            </w:r>
          </w:p>
        </w:tc>
        <w:tc>
          <w:tcPr>
            <w:tcW w:w="730" w:type="dxa"/>
            <w:vAlign w:val="center"/>
          </w:tcPr>
          <w:p>
            <w:pPr>
              <w:pStyle w:val="45"/>
              <w:rPr>
                <w:rFonts w:eastAsia="仿宋" w:cs="Times New Roman"/>
                <w:sz w:val="21"/>
                <w:szCs w:val="21"/>
              </w:rPr>
            </w:pPr>
            <w:r>
              <w:rPr>
                <w:rFonts w:hint="eastAsia" w:eastAsia="仿宋" w:cs="Times New Roman"/>
                <w:sz w:val="21"/>
                <w:szCs w:val="21"/>
              </w:rPr>
              <w:t>8</w:t>
            </w:r>
          </w:p>
        </w:tc>
        <w:tc>
          <w:tcPr>
            <w:tcW w:w="1459" w:type="dxa"/>
            <w:vAlign w:val="center"/>
          </w:tcPr>
          <w:p>
            <w:pPr>
              <w:pStyle w:val="45"/>
              <w:rPr>
                <w:rFonts w:eastAsia="仿宋" w:cs="Times New Roman"/>
                <w:sz w:val="21"/>
                <w:szCs w:val="21"/>
              </w:rPr>
            </w:pP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960" w:type="dxa"/>
            <w:vMerge w:val="restart"/>
            <w:vAlign w:val="center"/>
          </w:tcPr>
          <w:p>
            <w:pPr>
              <w:pStyle w:val="45"/>
              <w:rPr>
                <w:rFonts w:eastAsia="仿宋" w:cs="Times New Roman"/>
                <w:sz w:val="21"/>
                <w:szCs w:val="21"/>
              </w:rPr>
            </w:pPr>
            <w:r>
              <w:rPr>
                <w:rFonts w:hint="eastAsia" w:eastAsia="仿宋" w:cs="Times New Roman"/>
                <w:sz w:val="21"/>
                <w:szCs w:val="21"/>
              </w:rPr>
              <w:t>湿地文化保护规划</w:t>
            </w:r>
          </w:p>
        </w:tc>
        <w:tc>
          <w:tcPr>
            <w:tcW w:w="1770" w:type="dxa"/>
            <w:gridSpan w:val="2"/>
            <w:vAlign w:val="center"/>
          </w:tcPr>
          <w:p>
            <w:pPr>
              <w:pStyle w:val="45"/>
              <w:rPr>
                <w:rFonts w:eastAsia="仿宋" w:cs="Times New Roman"/>
                <w:sz w:val="21"/>
                <w:szCs w:val="21"/>
              </w:rPr>
            </w:pPr>
            <w:r>
              <w:rPr>
                <w:rFonts w:hint="eastAsia" w:eastAsia="仿宋" w:cs="Times New Roman"/>
                <w:sz w:val="21"/>
                <w:szCs w:val="21"/>
              </w:rPr>
              <w:t>仙阳湖文化的整理和保护</w:t>
            </w:r>
          </w:p>
        </w:tc>
        <w:tc>
          <w:tcPr>
            <w:tcW w:w="750" w:type="dxa"/>
            <w:vAlign w:val="center"/>
          </w:tcPr>
          <w:p>
            <w:pPr>
              <w:pStyle w:val="45"/>
              <w:rPr>
                <w:rFonts w:eastAsia="仿宋" w:cs="Times New Roman"/>
                <w:sz w:val="21"/>
                <w:szCs w:val="21"/>
              </w:rPr>
            </w:pPr>
            <w:r>
              <w:rPr>
                <w:rFonts w:hint="eastAsia" w:eastAsia="仿宋" w:cs="Times New Roman"/>
                <w:sz w:val="21"/>
                <w:szCs w:val="21"/>
              </w:rPr>
              <w:t>项</w:t>
            </w:r>
          </w:p>
        </w:tc>
        <w:tc>
          <w:tcPr>
            <w:tcW w:w="730" w:type="dxa"/>
            <w:vAlign w:val="center"/>
          </w:tcPr>
          <w:p>
            <w:pPr>
              <w:pStyle w:val="45"/>
              <w:rPr>
                <w:rFonts w:eastAsia="仿宋" w:cs="Times New Roman"/>
                <w:sz w:val="21"/>
                <w:szCs w:val="21"/>
              </w:rPr>
            </w:pPr>
            <w:r>
              <w:rPr>
                <w:rFonts w:eastAsia="仿宋" w:cs="Times New Roman"/>
                <w:sz w:val="21"/>
                <w:szCs w:val="21"/>
              </w:rPr>
              <w:t>1</w:t>
            </w:r>
          </w:p>
        </w:tc>
        <w:tc>
          <w:tcPr>
            <w:tcW w:w="1459" w:type="dxa"/>
            <w:vAlign w:val="center"/>
          </w:tcPr>
          <w:p>
            <w:pPr>
              <w:pStyle w:val="45"/>
              <w:rPr>
                <w:rFonts w:eastAsia="仿宋" w:cs="Times New Roman"/>
                <w:sz w:val="21"/>
                <w:szCs w:val="21"/>
              </w:rPr>
            </w:pPr>
          </w:p>
        </w:tc>
        <w:tc>
          <w:tcPr>
            <w:tcW w:w="691" w:type="dxa"/>
            <w:vAlign w:val="center"/>
          </w:tcPr>
          <w:p>
            <w:pPr>
              <w:pStyle w:val="45"/>
              <w:rPr>
                <w:rFonts w:eastAsia="仿宋" w:cs="Times New Roman"/>
                <w:sz w:val="21"/>
                <w:szCs w:val="21"/>
              </w:rPr>
            </w:pPr>
          </w:p>
        </w:tc>
        <w:tc>
          <w:tcPr>
            <w:tcW w:w="6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0" w:type="dxa"/>
            <w:vMerge w:val="continue"/>
            <w:vAlign w:val="center"/>
          </w:tcPr>
          <w:p>
            <w:pPr>
              <w:pStyle w:val="45"/>
              <w:rPr>
                <w:rFonts w:eastAsia="仿宋" w:cs="Times New Roman"/>
                <w:sz w:val="21"/>
                <w:szCs w:val="21"/>
              </w:rPr>
            </w:pPr>
          </w:p>
        </w:tc>
        <w:tc>
          <w:tcPr>
            <w:tcW w:w="1050" w:type="dxa"/>
            <w:vMerge w:val="continue"/>
            <w:vAlign w:val="center"/>
          </w:tcPr>
          <w:p>
            <w:pPr>
              <w:pStyle w:val="45"/>
              <w:rPr>
                <w:rFonts w:eastAsia="仿宋" w:cs="Times New Roman"/>
                <w:sz w:val="21"/>
                <w:szCs w:val="21"/>
              </w:rPr>
            </w:pPr>
          </w:p>
        </w:tc>
        <w:tc>
          <w:tcPr>
            <w:tcW w:w="960" w:type="dxa"/>
            <w:vMerge w:val="continue"/>
            <w:vAlign w:val="center"/>
          </w:tcPr>
          <w:p>
            <w:pPr>
              <w:pStyle w:val="45"/>
              <w:rPr>
                <w:rFonts w:eastAsia="仿宋" w:cs="Times New Roman"/>
                <w:sz w:val="21"/>
                <w:szCs w:val="21"/>
              </w:rPr>
            </w:pPr>
          </w:p>
        </w:tc>
        <w:tc>
          <w:tcPr>
            <w:tcW w:w="1770" w:type="dxa"/>
            <w:gridSpan w:val="2"/>
            <w:vAlign w:val="center"/>
          </w:tcPr>
          <w:p>
            <w:pPr>
              <w:pStyle w:val="45"/>
              <w:rPr>
                <w:rFonts w:eastAsia="仿宋" w:cs="Times New Roman"/>
                <w:sz w:val="21"/>
                <w:szCs w:val="21"/>
              </w:rPr>
            </w:pPr>
            <w:r>
              <w:rPr>
                <w:rFonts w:hint="eastAsia" w:eastAsia="仿宋" w:cs="Times New Roman"/>
                <w:sz w:val="21"/>
                <w:szCs w:val="21"/>
              </w:rPr>
              <w:t>举办湿地公园文化节</w:t>
            </w:r>
          </w:p>
        </w:tc>
        <w:tc>
          <w:tcPr>
            <w:tcW w:w="750" w:type="dxa"/>
            <w:vAlign w:val="center"/>
          </w:tcPr>
          <w:p>
            <w:pPr>
              <w:pStyle w:val="45"/>
              <w:rPr>
                <w:rFonts w:eastAsia="仿宋" w:cs="Times New Roman"/>
                <w:sz w:val="21"/>
                <w:szCs w:val="21"/>
              </w:rPr>
            </w:pPr>
            <w:r>
              <w:rPr>
                <w:rFonts w:hint="eastAsia" w:eastAsia="仿宋" w:cs="Times New Roman"/>
                <w:sz w:val="21"/>
                <w:szCs w:val="21"/>
              </w:rPr>
              <w:t>次</w:t>
            </w:r>
          </w:p>
        </w:tc>
        <w:tc>
          <w:tcPr>
            <w:tcW w:w="730" w:type="dxa"/>
            <w:vAlign w:val="center"/>
          </w:tcPr>
          <w:p>
            <w:pPr>
              <w:pStyle w:val="45"/>
              <w:rPr>
                <w:rFonts w:eastAsia="仿宋" w:cs="Times New Roman"/>
                <w:sz w:val="21"/>
                <w:szCs w:val="21"/>
              </w:rPr>
            </w:pPr>
            <w:r>
              <w:rPr>
                <w:rFonts w:hint="eastAsia" w:eastAsia="仿宋" w:cs="Times New Roman"/>
                <w:sz w:val="21"/>
                <w:szCs w:val="21"/>
              </w:rPr>
              <w:t>8</w:t>
            </w:r>
          </w:p>
        </w:tc>
        <w:tc>
          <w:tcPr>
            <w:tcW w:w="1459" w:type="dxa"/>
            <w:vAlign w:val="center"/>
          </w:tcPr>
          <w:p>
            <w:pPr>
              <w:pStyle w:val="45"/>
              <w:rPr>
                <w:rFonts w:eastAsia="仿宋" w:cs="Times New Roman"/>
                <w:sz w:val="21"/>
                <w:szCs w:val="21"/>
              </w:rPr>
            </w:pPr>
          </w:p>
        </w:tc>
        <w:tc>
          <w:tcPr>
            <w:tcW w:w="691" w:type="dxa"/>
            <w:vAlign w:val="center"/>
          </w:tcPr>
          <w:p>
            <w:pPr>
              <w:pStyle w:val="45"/>
              <w:rPr>
                <w:rFonts w:eastAsia="仿宋" w:cs="Times New Roman"/>
                <w:sz w:val="21"/>
                <w:szCs w:val="21"/>
              </w:rPr>
            </w:pPr>
            <w:r>
              <w:rPr>
                <w:rFonts w:hint="eastAsia" w:eastAsia="仿宋" w:cs="Times New Roman"/>
                <w:sz w:val="21"/>
                <w:szCs w:val="21"/>
              </w:rPr>
              <w:t>√</w:t>
            </w:r>
          </w:p>
        </w:tc>
        <w:tc>
          <w:tcPr>
            <w:tcW w:w="690" w:type="dxa"/>
            <w:vAlign w:val="center"/>
          </w:tcPr>
          <w:p>
            <w:pPr>
              <w:pStyle w:val="45"/>
              <w:rPr>
                <w:rFonts w:eastAsia="仿宋" w:cs="Times New Roman"/>
                <w:sz w:val="21"/>
                <w:szCs w:val="21"/>
              </w:rPr>
            </w:pPr>
            <w:r>
              <w:rPr>
                <w:rFonts w:hint="eastAsia" w:eastAsia="仿宋" w:cs="Times New Roman"/>
                <w:sz w:val="21"/>
                <w:szCs w:val="21"/>
              </w:rPr>
              <w:t>√</w:t>
            </w:r>
          </w:p>
        </w:tc>
      </w:tr>
    </w:tbl>
    <w:p>
      <w:pPr>
        <w:ind w:firstLine="420"/>
        <w:rPr>
          <w:rFonts w:cs="Times New Roman"/>
          <w:sz w:val="21"/>
          <w:szCs w:val="21"/>
        </w:rPr>
      </w:pPr>
    </w:p>
    <w:p>
      <w:pPr>
        <w:widowControl/>
        <w:spacing w:line="240" w:lineRule="auto"/>
        <w:ind w:firstLine="0" w:firstLineChars="0"/>
        <w:jc w:val="left"/>
        <w:rPr>
          <w:rFonts w:cs="Times New Roman"/>
          <w:sz w:val="21"/>
          <w:szCs w:val="21"/>
        </w:rPr>
      </w:pPr>
      <w:r>
        <w:rPr>
          <w:rFonts w:cs="Times New Roman"/>
          <w:sz w:val="21"/>
          <w:szCs w:val="21"/>
        </w:rPr>
        <w:br w:type="page"/>
      </w:r>
    </w:p>
    <w:p>
      <w:pPr>
        <w:pStyle w:val="4"/>
        <w:numPr>
          <w:ilvl w:val="0"/>
          <w:numId w:val="54"/>
        </w:numPr>
        <w:spacing w:after="395"/>
        <w:ind w:left="0" w:firstLine="0"/>
      </w:pPr>
      <w:bookmarkStart w:id="352" w:name="_Toc114084658"/>
      <w:bookmarkStart w:id="353" w:name="_Toc30126"/>
      <w:bookmarkStart w:id="354" w:name="_Toc113925786"/>
      <w:bookmarkStart w:id="355" w:name="_Toc113925534"/>
      <w:bookmarkStart w:id="356" w:name="_Toc1047"/>
      <w:bookmarkStart w:id="357" w:name="_Toc117114386"/>
      <w:r>
        <w:rPr>
          <w:rFonts w:hint="eastAsia"/>
        </w:rPr>
        <w:t>科普宣教规划</w:t>
      </w:r>
      <w:bookmarkEnd w:id="352"/>
      <w:bookmarkEnd w:id="353"/>
      <w:bookmarkEnd w:id="354"/>
      <w:bookmarkEnd w:id="355"/>
      <w:bookmarkEnd w:id="356"/>
      <w:bookmarkEnd w:id="357"/>
      <w:bookmarkStart w:id="358" w:name="OLE_LINK1"/>
    </w:p>
    <w:bookmarkEnd w:id="358"/>
    <w:p>
      <w:pPr>
        <w:ind w:firstLine="560"/>
        <w:rPr>
          <w:rFonts w:ascii="仿宋" w:hAnsi="仿宋" w:cs="仿宋"/>
        </w:rPr>
      </w:pPr>
      <w:r>
        <w:rPr>
          <w:rFonts w:hint="eastAsia" w:ascii="仿宋" w:hAnsi="仿宋" w:cs="仿宋"/>
        </w:rPr>
        <w:t>湿地公园科普宣教是人们了解湿地、认识湿地重要性的主要途径。它通过展示湿地景观、湿地生态技术和湿地生态过程，教育人们在游玩的同时自觉产生生态保护的意识，从而参与到保护湿地和生态环境的行动中去。此外，通过科普宣教，将先进的湿地营建技术、保护理念等传承下去，可丰富和发展湿地公园保护建设的理论。</w:t>
      </w:r>
    </w:p>
    <w:p>
      <w:pPr>
        <w:pStyle w:val="5"/>
        <w:numPr>
          <w:ilvl w:val="1"/>
          <w:numId w:val="54"/>
        </w:numPr>
        <w:spacing w:before="197"/>
      </w:pPr>
      <w:bookmarkStart w:id="359" w:name="_Toc117114387"/>
      <w:bookmarkStart w:id="360" w:name="_Toc20462"/>
      <w:bookmarkStart w:id="361" w:name="_Toc113925535"/>
      <w:bookmarkStart w:id="362" w:name="_Toc114084659"/>
      <w:bookmarkStart w:id="363" w:name="_Toc19891"/>
      <w:bookmarkStart w:id="364" w:name="_Toc113925787"/>
      <w:r>
        <w:rPr>
          <w:rFonts w:hint="eastAsia"/>
        </w:rPr>
        <w:t>规划原则</w:t>
      </w:r>
      <w:bookmarkEnd w:id="359"/>
      <w:bookmarkEnd w:id="360"/>
      <w:bookmarkEnd w:id="361"/>
      <w:bookmarkEnd w:id="362"/>
      <w:bookmarkEnd w:id="363"/>
      <w:bookmarkEnd w:id="364"/>
    </w:p>
    <w:p>
      <w:pPr>
        <w:ind w:firstLine="560"/>
        <w:rPr>
          <w:rFonts w:cs="Times New Roman"/>
        </w:rPr>
      </w:pPr>
      <w:r>
        <w:rPr>
          <w:rFonts w:hint="eastAsia" w:cs="Times New Roman"/>
        </w:rPr>
        <w:t>（1）科普宣教规划的内容应涉及与湿地相关的法律法规、湿地生物多样性保护与利用、湿地历史人文等方面的内容，注重科普性、知识性、趣味性、教育性及典型性。确保宣教内容为当地群众和游客易于接受，增加人们的参与度。</w:t>
      </w:r>
    </w:p>
    <w:p>
      <w:pPr>
        <w:ind w:firstLine="560"/>
        <w:rPr>
          <w:rFonts w:cs="Times New Roman"/>
        </w:rPr>
      </w:pPr>
      <w:r>
        <w:rPr>
          <w:rFonts w:hint="eastAsia" w:cs="Times New Roman"/>
        </w:rPr>
        <w:t>（2）科普宣教规划与总体布局、保护规划、恢复规划、科研监测规划、合理利用规划、防御灾害规划、区域协调与社区规划及其它规划相结合，通过开展别开生面的科普宣教活动以促进仙阳湖国家湿地公园建设发展。</w:t>
      </w:r>
    </w:p>
    <w:p>
      <w:pPr>
        <w:ind w:firstLine="560"/>
        <w:rPr>
          <w:rFonts w:cs="Times New Roman"/>
        </w:rPr>
      </w:pPr>
      <w:r>
        <w:rPr>
          <w:rFonts w:hint="eastAsia" w:cs="Times New Roman"/>
        </w:rPr>
        <w:t>（3）科普宣教方式要多元化，充分利用好广播、电视、报纸、互联网、微博、微信、客户端、标语和宣传画册等媒体，注重对外宣传，扩大仙阳湖国家湿地公园的知名度和影响力。</w:t>
      </w:r>
    </w:p>
    <w:p>
      <w:pPr>
        <w:pStyle w:val="5"/>
        <w:numPr>
          <w:ilvl w:val="1"/>
          <w:numId w:val="54"/>
        </w:numPr>
        <w:spacing w:before="197"/>
      </w:pPr>
      <w:bookmarkStart w:id="365" w:name="_Toc31397"/>
      <w:bookmarkStart w:id="366" w:name="_Toc114084660"/>
      <w:bookmarkStart w:id="367" w:name="_Toc113925788"/>
      <w:bookmarkStart w:id="368" w:name="_Toc13026"/>
      <w:bookmarkStart w:id="369" w:name="_Toc113925536"/>
      <w:bookmarkStart w:id="370" w:name="_Toc117114388"/>
      <w:r>
        <w:rPr>
          <w:rFonts w:hint="eastAsia"/>
        </w:rPr>
        <w:t>宣教主题</w:t>
      </w:r>
      <w:bookmarkEnd w:id="365"/>
      <w:bookmarkEnd w:id="366"/>
      <w:bookmarkEnd w:id="367"/>
      <w:bookmarkEnd w:id="368"/>
      <w:bookmarkEnd w:id="369"/>
      <w:bookmarkEnd w:id="370"/>
    </w:p>
    <w:p>
      <w:pPr>
        <w:pStyle w:val="6"/>
        <w:numPr>
          <w:ilvl w:val="2"/>
          <w:numId w:val="54"/>
        </w:numPr>
      </w:pPr>
      <w:bookmarkStart w:id="371" w:name="_Toc113925789"/>
      <w:bookmarkStart w:id="372" w:name="_Toc113925537"/>
      <w:r>
        <w:rPr>
          <w:rFonts w:hint="eastAsia"/>
        </w:rPr>
        <w:t>宣教目标</w:t>
      </w:r>
      <w:bookmarkEnd w:id="371"/>
      <w:bookmarkEnd w:id="372"/>
    </w:p>
    <w:p>
      <w:pPr>
        <w:ind w:firstLine="560"/>
        <w:rPr>
          <w:rFonts w:cs="Times New Roman"/>
        </w:rPr>
      </w:pPr>
      <w:r>
        <w:rPr>
          <w:rFonts w:hint="eastAsia" w:cs="Times New Roman"/>
        </w:rPr>
        <w:t>（1）科普宣教规划要达到宣传湿地生态价值、普及湿地知识、弘扬湿地文化、保护湿地、构建生态文明的宗旨。</w:t>
      </w:r>
    </w:p>
    <w:p>
      <w:pPr>
        <w:ind w:firstLine="560"/>
        <w:rPr>
          <w:rFonts w:cs="Times New Roman"/>
        </w:rPr>
      </w:pPr>
      <w:r>
        <w:rPr>
          <w:rFonts w:hint="eastAsia" w:cs="Times New Roman"/>
        </w:rPr>
        <w:t>（2）科普宣教规划要提高仙阳湖国家湿地公园周边社区居民、外来游客及社会公众热爱湿地、保护湿地、参与湿地管理与生态文明建设的意识。</w:t>
      </w:r>
    </w:p>
    <w:p>
      <w:pPr>
        <w:ind w:firstLine="560"/>
        <w:rPr>
          <w:rFonts w:cs="Times New Roman"/>
        </w:rPr>
      </w:pPr>
      <w:r>
        <w:rPr>
          <w:rFonts w:hint="eastAsia" w:cs="Times New Roman"/>
        </w:rPr>
        <w:t>（3）科普宣教规划要展示湿地公园的自然特色、人文特色、历史特色及其它特色，吸引建设投资和科研合作，促进仙阳湖国家湿地公园的可持续发展。</w:t>
      </w:r>
    </w:p>
    <w:p>
      <w:pPr>
        <w:pStyle w:val="6"/>
        <w:numPr>
          <w:ilvl w:val="2"/>
          <w:numId w:val="54"/>
        </w:numPr>
      </w:pPr>
      <w:bookmarkStart w:id="373" w:name="_Toc113925538"/>
      <w:bookmarkStart w:id="374" w:name="_Toc113925790"/>
      <w:r>
        <w:rPr>
          <w:rFonts w:hint="eastAsia"/>
        </w:rPr>
        <w:t>宣教对象</w:t>
      </w:r>
      <w:bookmarkEnd w:id="373"/>
      <w:bookmarkEnd w:id="374"/>
    </w:p>
    <w:p>
      <w:pPr>
        <w:ind w:firstLine="560"/>
        <w:rPr>
          <w:rFonts w:ascii="仿宋" w:hAnsi="仿宋" w:cs="仿宋"/>
        </w:rPr>
      </w:pPr>
      <w:r>
        <w:rPr>
          <w:rFonts w:hint="eastAsia" w:ascii="仿宋" w:hAnsi="仿宋" w:cs="仿宋"/>
        </w:rPr>
        <w:t>湿地公园宣传教育的对象或社会群体主要有社区及周边地区居民、当地各级政府官员、湿地管理人员、进入湿地公园的旅游者或外来务工者、本地的中小学生和进行社会实践或者实习的大学生等。</w:t>
      </w:r>
    </w:p>
    <w:p>
      <w:pPr>
        <w:pStyle w:val="6"/>
        <w:numPr>
          <w:ilvl w:val="2"/>
          <w:numId w:val="54"/>
        </w:numPr>
      </w:pPr>
      <w:bookmarkStart w:id="375" w:name="_Toc113925539"/>
      <w:bookmarkStart w:id="376" w:name="_Toc113925791"/>
      <w:r>
        <w:rPr>
          <w:rFonts w:hint="eastAsia"/>
        </w:rPr>
        <w:t>宣教内容</w:t>
      </w:r>
      <w:bookmarkEnd w:id="375"/>
      <w:bookmarkEnd w:id="376"/>
    </w:p>
    <w:p>
      <w:pPr>
        <w:pStyle w:val="47"/>
        <w:numPr>
          <w:ilvl w:val="2"/>
          <w:numId w:val="57"/>
        </w:numPr>
        <w:ind w:firstLineChars="0"/>
        <w:rPr>
          <w:rFonts w:cs="Times New Roman"/>
        </w:rPr>
      </w:pPr>
      <w:r>
        <w:rPr>
          <w:rFonts w:hint="eastAsia" w:cs="Times New Roman"/>
        </w:rPr>
        <w:t>科普知识宣传</w:t>
      </w:r>
    </w:p>
    <w:p>
      <w:pPr>
        <w:ind w:firstLine="560"/>
        <w:rPr>
          <w:rFonts w:cs="Times New Roman"/>
        </w:rPr>
      </w:pPr>
      <w:r>
        <w:rPr>
          <w:rFonts w:hint="eastAsia" w:cs="Times New Roman"/>
        </w:rPr>
        <w:t>有关湿地保护的科普常识，包括保护以生物多样性为主体的湿地资源保护的目的、意义和重要性宣传等。</w:t>
      </w:r>
    </w:p>
    <w:p>
      <w:pPr>
        <w:pStyle w:val="47"/>
        <w:numPr>
          <w:ilvl w:val="2"/>
          <w:numId w:val="57"/>
        </w:numPr>
        <w:ind w:firstLineChars="0"/>
        <w:rPr>
          <w:rFonts w:cs="Times New Roman"/>
        </w:rPr>
      </w:pPr>
      <w:r>
        <w:rPr>
          <w:rFonts w:hint="eastAsia" w:cs="Times New Roman"/>
        </w:rPr>
        <w:t>法制宣传</w:t>
      </w:r>
    </w:p>
    <w:p>
      <w:pPr>
        <w:ind w:firstLine="560"/>
        <w:rPr>
          <w:rFonts w:cs="Times New Roman"/>
        </w:rPr>
      </w:pPr>
      <w:r>
        <w:rPr>
          <w:rFonts w:hint="eastAsia" w:cs="Times New Roman"/>
        </w:rPr>
        <w:t>包括国家、地方政府颁布的有关法律法规、本湿地公园有关制度、通告，以提高湿地公园职工和社区居民等的法制意识，增强贯彻执行法律法规的自觉性。如宣传森林法、野生动物保护法、环境保护法、陆生野生动物保护实施条例，湿地公园管理办法及规章规定，典型案例宣传等。</w:t>
      </w:r>
    </w:p>
    <w:p>
      <w:pPr>
        <w:pStyle w:val="47"/>
        <w:numPr>
          <w:ilvl w:val="2"/>
          <w:numId w:val="57"/>
        </w:numPr>
        <w:ind w:firstLineChars="0"/>
        <w:rPr>
          <w:rFonts w:cs="Times New Roman"/>
        </w:rPr>
      </w:pPr>
      <w:r>
        <w:rPr>
          <w:rFonts w:hint="eastAsia" w:cs="Times New Roman"/>
        </w:rPr>
        <w:t>湿地公园介绍</w:t>
      </w:r>
    </w:p>
    <w:p>
      <w:pPr>
        <w:ind w:firstLine="560"/>
        <w:rPr>
          <w:rFonts w:cs="Times New Roman"/>
        </w:rPr>
      </w:pPr>
      <w:r>
        <w:rPr>
          <w:rFonts w:hint="eastAsia" w:cs="Times New Roman"/>
        </w:rPr>
        <w:t>对自身的宣传重点在于宣传本湿地公园的作用、位置、范围、保护对象、资源环境状况、保护措施、科研进展与成果和湿地保护工作的需要等，以求公众与社会团体对本湿地公园的了解和支持，参与湿地保护工作。</w:t>
      </w:r>
    </w:p>
    <w:p>
      <w:pPr>
        <w:pStyle w:val="47"/>
        <w:numPr>
          <w:ilvl w:val="2"/>
          <w:numId w:val="57"/>
        </w:numPr>
        <w:ind w:firstLineChars="0"/>
        <w:rPr>
          <w:rFonts w:cs="Times New Roman"/>
        </w:rPr>
      </w:pPr>
      <w:r>
        <w:rPr>
          <w:rFonts w:hint="eastAsia" w:cs="Times New Roman"/>
        </w:rPr>
        <w:t>湿地保护管理专业培训</w:t>
      </w:r>
    </w:p>
    <w:p>
      <w:pPr>
        <w:ind w:firstLine="560"/>
        <w:rPr>
          <w:rFonts w:cs="Times New Roman"/>
        </w:rPr>
      </w:pPr>
      <w:r>
        <w:rPr>
          <w:rFonts w:hint="eastAsia" w:cs="Times New Roman"/>
        </w:rPr>
        <w:t>通过湿地公园的建设，探索和引进新的管理方法，在取得了预期成果之后，可通过开始短期培训班的形式，向各级湿地主管部门、湿地保护管理团队、湿地保护管理相关专业人员宣讲和推广湿地保护管理的先进经验。</w:t>
      </w:r>
    </w:p>
    <w:p>
      <w:pPr>
        <w:pStyle w:val="6"/>
        <w:numPr>
          <w:ilvl w:val="2"/>
          <w:numId w:val="54"/>
        </w:numPr>
      </w:pPr>
      <w:bookmarkStart w:id="377" w:name="_Toc113925792"/>
      <w:bookmarkStart w:id="378" w:name="_Toc113925540"/>
      <w:r>
        <w:rPr>
          <w:rFonts w:hint="eastAsia"/>
        </w:rPr>
        <w:t>宣教形式</w:t>
      </w:r>
      <w:bookmarkEnd w:id="377"/>
      <w:bookmarkEnd w:id="378"/>
    </w:p>
    <w:p>
      <w:pPr>
        <w:pStyle w:val="47"/>
        <w:numPr>
          <w:ilvl w:val="0"/>
          <w:numId w:val="58"/>
        </w:numPr>
        <w:ind w:firstLineChars="0"/>
        <w:rPr>
          <w:rFonts w:cs="Times New Roman"/>
        </w:rPr>
      </w:pPr>
      <w:r>
        <w:rPr>
          <w:rFonts w:hint="eastAsia" w:cs="Times New Roman"/>
        </w:rPr>
        <w:t>标牌宣传</w:t>
      </w:r>
    </w:p>
    <w:p>
      <w:pPr>
        <w:ind w:firstLine="560"/>
        <w:rPr>
          <w:rFonts w:cs="Times New Roman"/>
        </w:rPr>
      </w:pPr>
      <w:r>
        <w:rPr>
          <w:rFonts w:hint="eastAsia" w:cs="Times New Roman"/>
        </w:rPr>
        <w:t>宣传标牌上的内容要言简意赅，口号要引人入胜，便于记忆。宣传标牌除安置在仙阳湖国家湿地公园的出入口、人口密集点、休息点等外，还要在石门县的学校、汽车站、高铁站、大型广场等人口比较集中处进行安置。</w:t>
      </w:r>
    </w:p>
    <w:p>
      <w:pPr>
        <w:pStyle w:val="47"/>
        <w:numPr>
          <w:ilvl w:val="0"/>
          <w:numId w:val="58"/>
        </w:numPr>
        <w:ind w:firstLineChars="0"/>
        <w:rPr>
          <w:rFonts w:cs="Times New Roman"/>
        </w:rPr>
      </w:pPr>
      <w:r>
        <w:rPr>
          <w:rFonts w:hint="eastAsia" w:cs="Times New Roman"/>
        </w:rPr>
        <w:t>展览宣传</w:t>
      </w:r>
    </w:p>
    <w:p>
      <w:pPr>
        <w:ind w:firstLine="560"/>
        <w:rPr>
          <w:rFonts w:cs="Times New Roman"/>
        </w:rPr>
      </w:pPr>
      <w:r>
        <w:rPr>
          <w:rFonts w:hint="eastAsia" w:cs="Times New Roman"/>
        </w:rPr>
        <w:t>湿地公园内建立湿地科普宣教中心、湿地植物展示园、湿地科普宣教长廊等，定期或不定期举办湿地动物、湿地植物、湿地文化、湿地建设等的图片、视频、实物的展览。</w:t>
      </w:r>
    </w:p>
    <w:p>
      <w:pPr>
        <w:pStyle w:val="47"/>
        <w:numPr>
          <w:ilvl w:val="0"/>
          <w:numId w:val="58"/>
        </w:numPr>
        <w:ind w:firstLineChars="0"/>
        <w:rPr>
          <w:rFonts w:cs="Times New Roman"/>
        </w:rPr>
      </w:pPr>
      <w:r>
        <w:rPr>
          <w:rFonts w:hint="eastAsia" w:cs="Times New Roman"/>
        </w:rPr>
        <w:t>媒体宣传</w:t>
      </w:r>
    </w:p>
    <w:p>
      <w:pPr>
        <w:ind w:firstLine="560"/>
        <w:rPr>
          <w:rFonts w:cs="Times New Roman"/>
        </w:rPr>
      </w:pPr>
      <w:r>
        <w:rPr>
          <w:rFonts w:hint="eastAsia" w:cs="Times New Roman"/>
        </w:rPr>
        <w:t>湿地公园可采用电视、广播、报刊杂志、网站、微博、微信、客户端等大众传媒进行宣传。</w:t>
      </w:r>
    </w:p>
    <w:p>
      <w:pPr>
        <w:pStyle w:val="47"/>
        <w:numPr>
          <w:ilvl w:val="0"/>
          <w:numId w:val="58"/>
        </w:numPr>
        <w:ind w:firstLineChars="0"/>
        <w:rPr>
          <w:rFonts w:cs="Times New Roman"/>
        </w:rPr>
      </w:pPr>
      <w:r>
        <w:rPr>
          <w:rFonts w:hint="eastAsia" w:cs="Times New Roman"/>
        </w:rPr>
        <w:t>旅游宣传</w:t>
      </w:r>
    </w:p>
    <w:p>
      <w:pPr>
        <w:ind w:firstLine="560"/>
        <w:rPr>
          <w:rFonts w:cs="Times New Roman"/>
        </w:rPr>
      </w:pPr>
      <w:r>
        <w:rPr>
          <w:rFonts w:hint="eastAsia" w:cs="Times New Roman"/>
        </w:rPr>
        <w:t>在湿地公园及周边宾馆、饭店、旅行社、汽车站、旅游景区等游客必经之地的醒目位置处安放一些免费且带有知识性、趣味性和教育性的宣传品、导游图、旅游指南及旅游纪念品等。</w:t>
      </w:r>
    </w:p>
    <w:p>
      <w:pPr>
        <w:pStyle w:val="47"/>
        <w:numPr>
          <w:ilvl w:val="0"/>
          <w:numId w:val="58"/>
        </w:numPr>
        <w:ind w:firstLineChars="0"/>
        <w:rPr>
          <w:rFonts w:cs="Times New Roman"/>
        </w:rPr>
      </w:pPr>
      <w:r>
        <w:rPr>
          <w:rFonts w:hint="eastAsia" w:cs="Times New Roman"/>
        </w:rPr>
        <w:t>其它宣传</w:t>
      </w:r>
    </w:p>
    <w:p>
      <w:pPr>
        <w:ind w:firstLine="560"/>
        <w:rPr>
          <w:rFonts w:cs="Times New Roman"/>
        </w:rPr>
      </w:pPr>
      <w:r>
        <w:rPr>
          <w:rFonts w:hint="eastAsia" w:cs="Times New Roman"/>
        </w:rPr>
        <w:t>湿地公园可通过举办报告会、讨论会或交流会等形式以提高湿地公园的知名度。同时，湿地公园在相关出版单位的合作下，出版与本湿地公园有关的书籍、画册及其它宣传材料。亦可在合适的时间举办与本湿地公园有关的摄影、绘画、写作、诗歌朗诵等比赛活动。</w:t>
      </w:r>
    </w:p>
    <w:p>
      <w:pPr>
        <w:pStyle w:val="6"/>
        <w:numPr>
          <w:ilvl w:val="2"/>
          <w:numId w:val="54"/>
        </w:numPr>
      </w:pPr>
      <w:bookmarkStart w:id="379" w:name="_Toc113925541"/>
      <w:bookmarkStart w:id="380" w:name="_Toc113925793"/>
      <w:r>
        <w:rPr>
          <w:rFonts w:hint="eastAsia"/>
        </w:rPr>
        <w:t>宣教主题</w:t>
      </w:r>
      <w:bookmarkEnd w:id="379"/>
      <w:bookmarkEnd w:id="380"/>
    </w:p>
    <w:p>
      <w:pPr>
        <w:ind w:firstLine="560"/>
        <w:rPr>
          <w:rFonts w:ascii="仿宋" w:hAnsi="仿宋" w:cs="仿宋"/>
        </w:rPr>
      </w:pPr>
      <w:r>
        <w:rPr>
          <w:rFonts w:hint="eastAsia" w:ascii="仿宋" w:hAnsi="仿宋" w:cs="仿宋"/>
        </w:rPr>
        <w:t>通过对湿地公园宣教目标、对象、内容和形式的分析，可以将宣教的主题定为：以让人们了解湿地、认识湿地的重要性为核心，通过多种形式展示湿地功能、湿地景观、湿地生态过程以及湿地保护与恢复生态技术，通过宣教来增强公众的生态保护意识，从而参与到保护湿地和生态环境的行动中去。此外，通过科普宣教，将先进的湿地保护与恢复生态技术、保护理念等传承下去，可丰富和发展湿地公园保护建设的理论。</w:t>
      </w:r>
    </w:p>
    <w:p>
      <w:pPr>
        <w:pStyle w:val="5"/>
        <w:numPr>
          <w:ilvl w:val="1"/>
          <w:numId w:val="54"/>
        </w:numPr>
        <w:spacing w:before="197"/>
      </w:pPr>
      <w:bookmarkStart w:id="381" w:name="_Toc113925542"/>
      <w:bookmarkStart w:id="382" w:name="_Toc114084661"/>
      <w:bookmarkStart w:id="383" w:name="_Toc1246"/>
      <w:bookmarkStart w:id="384" w:name="_Toc117114389"/>
      <w:bookmarkStart w:id="385" w:name="_Toc113925794"/>
      <w:bookmarkStart w:id="386" w:name="_Toc30258"/>
      <w:r>
        <w:rPr>
          <w:rFonts w:hint="eastAsia"/>
        </w:rPr>
        <w:t>建设内容</w:t>
      </w:r>
      <w:bookmarkEnd w:id="381"/>
      <w:bookmarkEnd w:id="382"/>
      <w:bookmarkEnd w:id="383"/>
      <w:bookmarkEnd w:id="384"/>
      <w:bookmarkEnd w:id="385"/>
      <w:bookmarkEnd w:id="386"/>
    </w:p>
    <w:p>
      <w:pPr>
        <w:pStyle w:val="6"/>
        <w:numPr>
          <w:ilvl w:val="2"/>
          <w:numId w:val="59"/>
        </w:numPr>
      </w:pPr>
      <w:bookmarkStart w:id="387" w:name="_Toc113925795"/>
      <w:bookmarkStart w:id="388" w:name="_Toc113925543"/>
      <w:r>
        <w:rPr>
          <w:rFonts w:hint="eastAsia"/>
        </w:rPr>
        <w:t>湿地科普宣教中心</w:t>
      </w:r>
      <w:bookmarkEnd w:id="387"/>
      <w:bookmarkEnd w:id="388"/>
    </w:p>
    <w:p>
      <w:pPr>
        <w:pStyle w:val="47"/>
        <w:numPr>
          <w:ilvl w:val="0"/>
          <w:numId w:val="60"/>
        </w:numPr>
        <w:ind w:firstLineChars="0"/>
        <w:rPr>
          <w:rFonts w:cs="Times New Roman"/>
        </w:rPr>
      </w:pPr>
      <w:r>
        <w:rPr>
          <w:rFonts w:hint="eastAsia" w:cs="Times New Roman"/>
        </w:rPr>
        <w:t>建设地点</w:t>
      </w:r>
    </w:p>
    <w:p>
      <w:pPr>
        <w:ind w:firstLine="560"/>
        <w:rPr>
          <w:rFonts w:cs="Times New Roman"/>
        </w:rPr>
      </w:pPr>
      <w:r>
        <w:rPr>
          <w:rFonts w:hint="eastAsia" w:cs="Times New Roman"/>
        </w:rPr>
        <w:t>湿地公园已在王家岭建有湿地科普宣教中心，占地面积仅150平方米，并进行了相关布展和宣教工作的基础设施建设。2022年仙阳湖湿地列入国家重要湿地候选名录，成为湖南省在全国湿地的重要窗口，随着湿地公园知名度的提升和发展，现有的宣教中心和设施不足以满足日益增多游客需求。因此，为进一步强化湿地公园宣教工作，规划在皂市镇彭家堡建设湿地科普宣教中心。</w:t>
      </w:r>
    </w:p>
    <w:p>
      <w:pPr>
        <w:pStyle w:val="47"/>
        <w:numPr>
          <w:ilvl w:val="0"/>
          <w:numId w:val="60"/>
        </w:numPr>
        <w:ind w:firstLineChars="0"/>
        <w:rPr>
          <w:rFonts w:cs="Times New Roman"/>
        </w:rPr>
      </w:pPr>
      <w:r>
        <w:rPr>
          <w:rFonts w:hint="eastAsia" w:cs="Times New Roman"/>
        </w:rPr>
        <w:t>建设规模</w:t>
      </w:r>
    </w:p>
    <w:p>
      <w:pPr>
        <w:ind w:firstLine="560"/>
        <w:rPr>
          <w:rFonts w:cs="Times New Roman"/>
        </w:rPr>
      </w:pPr>
      <w:r>
        <w:rPr>
          <w:rFonts w:hint="eastAsia" w:cs="Times New Roman"/>
        </w:rPr>
        <w:t>湿地科普宣教中心建筑占地面积2000平方米，建筑应体现绿色低碳环保理念，设计中可融入自然光源采光、太阳能、雨水收集等环保技术措施。</w:t>
      </w:r>
    </w:p>
    <w:p>
      <w:pPr>
        <w:pStyle w:val="47"/>
        <w:numPr>
          <w:ilvl w:val="0"/>
          <w:numId w:val="60"/>
        </w:numPr>
        <w:ind w:firstLineChars="0"/>
        <w:rPr>
          <w:rFonts w:cs="Times New Roman"/>
        </w:rPr>
      </w:pPr>
      <w:r>
        <w:rPr>
          <w:rFonts w:hint="eastAsia" w:cs="Times New Roman"/>
        </w:rPr>
        <w:t>建设内容</w:t>
      </w:r>
    </w:p>
    <w:p>
      <w:pPr>
        <w:ind w:firstLine="560"/>
        <w:rPr>
          <w:rFonts w:cs="Times New Roman"/>
        </w:rPr>
      </w:pPr>
      <w:r>
        <w:rPr>
          <w:rFonts w:hint="eastAsia" w:cs="Times New Roman"/>
        </w:rPr>
        <w:t>湿地科普宣教中心主要是对进入湿地公园的访客开展常规的宣教工作，建设内容主要包括：科普宣教展览厅、湿地资源展览厅、网络媒体室、湿地图书阅览室，购置多功能数字影院等宣教设备1套。</w:t>
      </w:r>
    </w:p>
    <w:p>
      <w:pPr>
        <w:ind w:firstLine="560"/>
        <w:rPr>
          <w:rFonts w:cs="Times New Roman"/>
        </w:rPr>
      </w:pPr>
      <w:r>
        <w:rPr>
          <w:rFonts w:hint="eastAsia" w:cs="Times New Roman"/>
        </w:rPr>
        <w:t>科普宣教展览厅：配置多媒体显示屏和图文资料展览柜等宣传展示设备，通过多功能数字影院、实物、模型、图片、文字等资料，宣传展示湿地生态系统的功能，我国湿地资源的现状，我国湿地保护管理工作的进展，以及湿地保护工作未来的发展方向等方面的内容。聘请相关专家举办讲座和学术报告会，探讨湿地的保护和利用方式。</w:t>
      </w:r>
    </w:p>
    <w:p>
      <w:pPr>
        <w:ind w:firstLine="560"/>
        <w:rPr>
          <w:rFonts w:cs="Times New Roman"/>
        </w:rPr>
      </w:pPr>
      <w:r>
        <w:rPr>
          <w:rFonts w:hint="eastAsia" w:cs="Times New Roman"/>
        </w:rPr>
        <w:t>湿地资源展览厅：配置多媒体显示屏、实物和图文资料展览柜等宣传展示设备，通过数字影院、实物、模型、图片、文字等资料，重点展示仙阳湖国家湿地公园的湿地变迁、水文水质、动植物等自然资源；介绍展示湿地公园周边的湿地景观、湿地文化等旅游资源。</w:t>
      </w:r>
    </w:p>
    <w:p>
      <w:pPr>
        <w:ind w:firstLine="560"/>
        <w:rPr>
          <w:rFonts w:cs="Times New Roman"/>
        </w:rPr>
      </w:pPr>
      <w:r>
        <w:rPr>
          <w:rFonts w:hint="eastAsia" w:cs="Times New Roman"/>
        </w:rPr>
        <w:t>网络媒体室：负责给展览厅放映多媒体素材，向游客展示相关视频宣传资料。及时更新科普宣教资料。同时，对于湿地公园内的新发现、新项目，通过网站及时对外公布，扩大公园的知名度和影响力。</w:t>
      </w:r>
    </w:p>
    <w:p>
      <w:pPr>
        <w:ind w:firstLine="560"/>
        <w:rPr>
          <w:rFonts w:cs="Times New Roman"/>
        </w:rPr>
      </w:pPr>
      <w:r>
        <w:rPr>
          <w:rFonts w:hint="eastAsia" w:cs="Times New Roman"/>
        </w:rPr>
        <w:t>湿地图书阅览室：购买相关湿地专业图书、湿地期刊杂志、湿地趣味拼图、湿地儿童读本等，供来访人员阅读，丰富其科学知识。</w:t>
      </w:r>
    </w:p>
    <w:p>
      <w:pPr>
        <w:pStyle w:val="6"/>
        <w:numPr>
          <w:ilvl w:val="2"/>
          <w:numId w:val="59"/>
        </w:numPr>
      </w:pPr>
      <w:bookmarkStart w:id="389" w:name="_Toc113925796"/>
      <w:bookmarkStart w:id="390" w:name="_Toc113925544"/>
      <w:r>
        <w:rPr>
          <w:rFonts w:hint="eastAsia"/>
        </w:rPr>
        <w:t>湿地生态教育广场</w:t>
      </w:r>
      <w:bookmarkEnd w:id="389"/>
      <w:bookmarkEnd w:id="390"/>
    </w:p>
    <w:p>
      <w:pPr>
        <w:pStyle w:val="47"/>
        <w:numPr>
          <w:ilvl w:val="0"/>
          <w:numId w:val="61"/>
        </w:numPr>
        <w:ind w:firstLineChars="0"/>
        <w:rPr>
          <w:rFonts w:cs="Times New Roman"/>
        </w:rPr>
      </w:pPr>
      <w:r>
        <w:rPr>
          <w:rFonts w:hint="eastAsia" w:cs="Times New Roman"/>
        </w:rPr>
        <w:t>建设地点</w:t>
      </w:r>
    </w:p>
    <w:p>
      <w:pPr>
        <w:ind w:firstLine="560"/>
        <w:rPr>
          <w:rFonts w:cs="Times New Roman"/>
        </w:rPr>
      </w:pPr>
      <w:r>
        <w:rPr>
          <w:rFonts w:hint="eastAsia" w:cs="Times New Roman"/>
        </w:rPr>
        <w:t>湿地公园已建有1处湿地生态教育广场，为配合湿地科普宣教中心开展宣传教育工作，本次规划在皂市镇（彭家堡）、磨市镇、白云镇、马鞍岛建设湿地生态教育广场4处。</w:t>
      </w:r>
    </w:p>
    <w:p>
      <w:pPr>
        <w:pStyle w:val="47"/>
        <w:numPr>
          <w:ilvl w:val="0"/>
          <w:numId w:val="61"/>
        </w:numPr>
        <w:ind w:firstLineChars="0"/>
        <w:rPr>
          <w:rFonts w:cs="Times New Roman"/>
        </w:rPr>
      </w:pPr>
      <w:r>
        <w:rPr>
          <w:rFonts w:hint="eastAsia" w:cs="Times New Roman"/>
        </w:rPr>
        <w:t>建设规模</w:t>
      </w:r>
    </w:p>
    <w:p>
      <w:pPr>
        <w:ind w:firstLine="560"/>
        <w:rPr>
          <w:rFonts w:cs="Times New Roman"/>
        </w:rPr>
      </w:pPr>
      <w:r>
        <w:rPr>
          <w:rFonts w:hint="eastAsia" w:cs="Times New Roman"/>
        </w:rPr>
        <w:t>皂市镇（彭家堡）、磨市镇、白云镇湿地生态教育广场占地面积各3000平方米，马鞍岛湿地生态教育广场占地面积4000平方米，应体现绿色低碳环保理念，多铺透水地面材料，减少地面硬化。</w:t>
      </w:r>
    </w:p>
    <w:p>
      <w:pPr>
        <w:pStyle w:val="47"/>
        <w:numPr>
          <w:ilvl w:val="0"/>
          <w:numId w:val="61"/>
        </w:numPr>
        <w:ind w:firstLineChars="0"/>
        <w:rPr>
          <w:rFonts w:cs="Times New Roman"/>
        </w:rPr>
      </w:pPr>
      <w:r>
        <w:rPr>
          <w:rFonts w:hint="eastAsia" w:cs="Times New Roman"/>
        </w:rPr>
        <w:t>建设内容</w:t>
      </w:r>
    </w:p>
    <w:p>
      <w:pPr>
        <w:ind w:firstLine="560"/>
        <w:rPr>
          <w:rFonts w:cs="Times New Roman"/>
        </w:rPr>
      </w:pPr>
      <w:r>
        <w:rPr>
          <w:rFonts w:hint="eastAsia" w:cs="Times New Roman"/>
        </w:rPr>
        <w:t>皂市镇（彭家堡）、磨市镇、白云镇湿地生态教育广场建设内容应包括宣教、广场铺装、绿化，以及配套建设的生态停车场。马鞍岛湿地生态教育广场结合炉慈高速修建观景平台，打造集湿地科普宣教、观景、休憩为一体的宣教广场。</w:t>
      </w:r>
    </w:p>
    <w:p>
      <w:pPr>
        <w:pStyle w:val="6"/>
        <w:numPr>
          <w:ilvl w:val="2"/>
          <w:numId w:val="59"/>
        </w:numPr>
      </w:pPr>
      <w:bookmarkStart w:id="391" w:name="_Toc113925545"/>
      <w:bookmarkStart w:id="392" w:name="_Toc113925797"/>
      <w:r>
        <w:rPr>
          <w:rFonts w:hint="eastAsia"/>
        </w:rPr>
        <w:t>湿地科普宣教长廊</w:t>
      </w:r>
      <w:bookmarkEnd w:id="391"/>
      <w:bookmarkEnd w:id="392"/>
    </w:p>
    <w:p>
      <w:pPr>
        <w:ind w:firstLine="560"/>
        <w:rPr>
          <w:rFonts w:cs="Times New Roman"/>
        </w:rPr>
      </w:pPr>
      <w:r>
        <w:rPr>
          <w:rFonts w:hint="eastAsia" w:cs="Times New Roman"/>
        </w:rPr>
        <w:t>湿地科普宣教长廊主要通过设置相应的湿地科普知识、湿地简介、湿地代表性动植物及湿地文化等，向大众宣传湿地的功能和保护的重要性，让大众在领略和体验湿地动植物和人文景观的同时，提高湿地保护意识。湿地科普宣教长廊将建设成为湿地公园重要的科普教育和生态休闲基地，为游客提供科普教育、生态休闲、零距离接近大自然的理想场所。</w:t>
      </w:r>
    </w:p>
    <w:p>
      <w:pPr>
        <w:ind w:firstLine="560"/>
        <w:rPr>
          <w:rFonts w:cs="Times New Roman"/>
        </w:rPr>
      </w:pPr>
      <w:r>
        <w:rPr>
          <w:rFonts w:hint="eastAsia" w:cs="Times New Roman"/>
        </w:rPr>
        <w:t>本期规划在皂市镇、维新镇、白云镇、磨市镇各建设湿地科普宣教长廊</w:t>
      </w:r>
      <w:r>
        <w:rPr>
          <w:rFonts w:cs="Times New Roman"/>
        </w:rPr>
        <w:t>10</w:t>
      </w:r>
      <w:r>
        <w:rPr>
          <w:rFonts w:hint="eastAsia" w:cs="Times New Roman"/>
        </w:rPr>
        <w:t>公里。</w:t>
      </w:r>
    </w:p>
    <w:p>
      <w:pPr>
        <w:pStyle w:val="6"/>
        <w:numPr>
          <w:ilvl w:val="2"/>
          <w:numId w:val="59"/>
        </w:numPr>
      </w:pPr>
      <w:bookmarkStart w:id="393" w:name="_Toc113925798"/>
      <w:bookmarkStart w:id="394" w:name="_Toc113925546"/>
      <w:r>
        <w:rPr>
          <w:rFonts w:hint="eastAsia"/>
        </w:rPr>
        <w:t>湿地植物展示园</w:t>
      </w:r>
      <w:bookmarkEnd w:id="393"/>
      <w:bookmarkEnd w:id="394"/>
    </w:p>
    <w:p>
      <w:pPr>
        <w:ind w:firstLine="560"/>
        <w:rPr>
          <w:rFonts w:cs="Times New Roman"/>
        </w:rPr>
      </w:pPr>
      <w:r>
        <w:rPr>
          <w:rFonts w:hint="eastAsia" w:cs="Times New Roman"/>
        </w:rPr>
        <w:t>2014版规划在恢复重建区和宣教展示区各建1处湿地植物展示园，但由于湿地公园前期主要侧重于管护设施建设，因此未实施湿地植物展示园建设工程。湿地植物展示园是集湿地植物文化展示、科普宣教、游憩休闲、体验观光、科学研究和开展生态文明教育于一体的综合性、多功能宣传设施，是湿地公园宣传教育重要载体。本期规划在月光岛、彭家湾、马鞍岛新建</w:t>
      </w:r>
      <w:bookmarkStart w:id="395" w:name="_Hlk116832717"/>
      <w:r>
        <w:rPr>
          <w:rFonts w:hint="eastAsia" w:cs="Times New Roman"/>
        </w:rPr>
        <w:t>湿地植物展示园</w:t>
      </w:r>
      <w:bookmarkEnd w:id="395"/>
      <w:r>
        <w:rPr>
          <w:rFonts w:hint="eastAsia" w:cs="Times New Roman"/>
        </w:rPr>
        <w:t>3处，面积20</w:t>
      </w:r>
      <w:r>
        <w:rPr>
          <w:rFonts w:cs="Times New Roman"/>
        </w:rPr>
        <w:t>0</w:t>
      </w:r>
      <w:r>
        <w:rPr>
          <w:rFonts w:hint="eastAsia" w:cs="Times New Roman"/>
        </w:rPr>
        <w:t>公顷。</w:t>
      </w:r>
    </w:p>
    <w:p>
      <w:pPr>
        <w:ind w:firstLine="560"/>
        <w:rPr>
          <w:rFonts w:cs="Times New Roman"/>
        </w:rPr>
      </w:pPr>
      <w:r>
        <w:rPr>
          <w:rFonts w:hint="eastAsia" w:cs="Times New Roman"/>
        </w:rPr>
        <w:t>植物景观主要为乔木、灌木、水生植物和地被植物。在设置湿地植物展示园时要在保护原有生态环境的基础上对湿地环境进行规划和改造，最终做到湿地公园园区内部的植物景观主要以湿地原生态形式对游人进行展示。除本土湿地植物外，还可引种水生花卉植物造景。在植被中铺装栈道、休憩廊和观景台及多样的解说系统，方便游人在欣赏旖旎的风景时学习湿地知识，提高湿地保护意识。为方便游人观赏湿地植物，因地制宜的建设景观木栈道6公里。此外，在湿地植物展示园的适当位置上设置湿地动植物认知牌800块，其上设置二维码电子标牌，方便游客通过扫描二维码获取相关信息。</w:t>
      </w:r>
    </w:p>
    <w:p>
      <w:pPr>
        <w:pStyle w:val="6"/>
        <w:numPr>
          <w:ilvl w:val="2"/>
          <w:numId w:val="59"/>
        </w:numPr>
      </w:pPr>
      <w:bookmarkStart w:id="396" w:name="_Toc113925547"/>
      <w:bookmarkStart w:id="397" w:name="_Toc113925799"/>
      <w:r>
        <w:rPr>
          <w:rFonts w:hint="eastAsia"/>
        </w:rPr>
        <w:t>解说标识系统</w:t>
      </w:r>
      <w:bookmarkEnd w:id="396"/>
      <w:bookmarkEnd w:id="397"/>
    </w:p>
    <w:p>
      <w:pPr>
        <w:ind w:firstLine="560"/>
        <w:rPr>
          <w:rFonts w:cs="Times New Roman"/>
        </w:rPr>
      </w:pPr>
      <w:r>
        <w:rPr>
          <w:rFonts w:hint="eastAsia" w:cs="Times New Roman"/>
        </w:rPr>
        <w:t>由于建设经费不足等诸多因素影响，上期规划所提及的解说标识系统未建设，考虑到解说标识系统在湿地公园科普宣教工作中发挥的重要作用，本期规划建议继续开展解说标识系统建设工程，其主要建设内容包括</w:t>
      </w:r>
      <w:bookmarkStart w:id="398" w:name="_Hlk113721891"/>
      <w:r>
        <w:rPr>
          <w:rFonts w:hint="eastAsia" w:cs="Times New Roman"/>
        </w:rPr>
        <w:t>图文展示与播放系统</w:t>
      </w:r>
      <w:bookmarkEnd w:id="398"/>
      <w:r>
        <w:rPr>
          <w:rFonts w:hint="eastAsia" w:cs="Times New Roman"/>
        </w:rPr>
        <w:t>、</w:t>
      </w:r>
      <w:bookmarkStart w:id="399" w:name="_Hlk113721979"/>
      <w:r>
        <w:rPr>
          <w:rFonts w:hint="eastAsia" w:cs="Times New Roman"/>
        </w:rPr>
        <w:t>牌示系统</w:t>
      </w:r>
      <w:bookmarkEnd w:id="399"/>
      <w:r>
        <w:rPr>
          <w:rFonts w:hint="eastAsia" w:cs="Times New Roman"/>
        </w:rPr>
        <w:t>、出版物解说、出版物解说。</w:t>
      </w:r>
    </w:p>
    <w:p>
      <w:pPr>
        <w:ind w:firstLine="560"/>
        <w:rPr>
          <w:rFonts w:cs="Times New Roman"/>
        </w:rPr>
      </w:pPr>
      <w:r>
        <w:rPr>
          <w:rFonts w:hint="eastAsia" w:cs="Times New Roman"/>
        </w:rPr>
        <w:t>（1）图文展示与播放系统：制作全面反映湿地公园景观资源和旅游服务的音像影像制品，包括湿地公园的基本情况介绍、湿地公园的气象气候、地质地貌、野生动植物资源等自然地理环境特征、独特的自然景观、人文历史遗迹以及已有景点，不同季节的湿地景观。主要在湿地公园入口区设置游客自助咨询系统，信息查询系统；同时在游客服务中心设置放映厅，不间断地向游客播放；部分声像资料还可利用游道两旁的隐蔽式音箱在背景音乐中滚动播放。</w:t>
      </w:r>
    </w:p>
    <w:p>
      <w:pPr>
        <w:ind w:firstLine="560"/>
        <w:rPr>
          <w:rFonts w:cs="Times New Roman"/>
        </w:rPr>
      </w:pPr>
      <w:r>
        <w:rPr>
          <w:rFonts w:hint="eastAsia" w:cs="Times New Roman"/>
        </w:rPr>
        <w:t>（2）牌示系统：牌示解说系统主要用于出入口、功能区、景区、重要景点等，用于介绍情况、科学解释等。根据相关政策及法律法规，牌示解说系统的色彩和规格，应根据设置地点、揭示内容和具体条件进行设计，并与景观和环境相协调。解说标志牌宜采用中文和英文两种文字说明，公共设施标志应采用国际通用的标识符号，同时湿地公园的牌示解说也要满足残疾人的需求，如在湿地公园中设置触摸语音地图、触摸语音植物牌等设施。规划内容有：</w:t>
      </w:r>
    </w:p>
    <w:p>
      <w:pPr>
        <w:ind w:firstLine="560" w:firstLineChars="0"/>
        <w:rPr>
          <w:rFonts w:cs="Times New Roman"/>
        </w:rPr>
      </w:pPr>
      <w:r>
        <w:rPr>
          <w:rFonts w:hint="eastAsia" w:cs="Times New Roman"/>
        </w:rPr>
        <w:t>① 大型宣传标牌</w:t>
      </w:r>
    </w:p>
    <w:p>
      <w:pPr>
        <w:ind w:firstLine="560"/>
        <w:rPr>
          <w:rFonts w:cs="Times New Roman"/>
        </w:rPr>
      </w:pPr>
      <w:r>
        <w:rPr>
          <w:rFonts w:hint="eastAsia" w:cs="Times New Roman"/>
        </w:rPr>
        <w:t>上一规划期内已在主要出入口设立永久性公园标牌，考虑到现规划的G</w:t>
      </w:r>
      <w:r>
        <w:rPr>
          <w:rFonts w:cs="Times New Roman"/>
        </w:rPr>
        <w:t>59</w:t>
      </w:r>
      <w:r>
        <w:rPr>
          <w:rFonts w:hint="eastAsia" w:cs="Times New Roman"/>
        </w:rPr>
        <w:t>高速经穿越湿地公园，因此本期规划在高速公路和湿地公园出入口建设大型宣传牌，共8块，主要介绍湿地公园主要景观特色内容。</w:t>
      </w:r>
    </w:p>
    <w:p>
      <w:pPr>
        <w:ind w:firstLine="560"/>
        <w:rPr>
          <w:rFonts w:cs="Times New Roman"/>
        </w:rPr>
      </w:pPr>
      <w:r>
        <w:rPr>
          <w:rFonts w:hint="eastAsia" w:cs="Times New Roman"/>
        </w:rPr>
        <w:t>② 宣传标牌</w:t>
      </w:r>
    </w:p>
    <w:p>
      <w:pPr>
        <w:ind w:firstLine="560"/>
        <w:rPr>
          <w:rFonts w:cs="Times New Roman"/>
        </w:rPr>
      </w:pPr>
      <w:r>
        <w:rPr>
          <w:rFonts w:hint="eastAsia" w:cs="Times New Roman"/>
        </w:rPr>
        <w:t>规划在湿地公园的各功能分区、重要景点、人口密集区及重要地段设置宣传标牌30块。印制有关湿地限制规定、保护湿地公约、重要的动植物习性、分布区域和保护范围等图文展示资料，在普及相关知识的基础上，提醒群众自觉遵守有关规定，提高全社会保护湿地的意识。</w:t>
      </w:r>
    </w:p>
    <w:p>
      <w:pPr>
        <w:ind w:firstLine="560"/>
        <w:rPr>
          <w:rFonts w:cs="Times New Roman"/>
        </w:rPr>
      </w:pPr>
      <w:r>
        <w:rPr>
          <w:rFonts w:hint="eastAsia" w:cs="Times New Roman"/>
        </w:rPr>
        <w:t>③ 指示牌</w:t>
      </w:r>
    </w:p>
    <w:p>
      <w:pPr>
        <w:ind w:firstLine="560"/>
        <w:rPr>
          <w:rFonts w:cs="Times New Roman"/>
        </w:rPr>
      </w:pPr>
      <w:r>
        <w:rPr>
          <w:rFonts w:hint="eastAsia" w:cs="Times New Roman"/>
        </w:rPr>
        <w:t>规划在湿地公园内交通要道和路口设置指示牌100块。</w:t>
      </w:r>
    </w:p>
    <w:p>
      <w:pPr>
        <w:ind w:firstLine="560"/>
        <w:rPr>
          <w:rFonts w:cs="Times New Roman"/>
        </w:rPr>
      </w:pPr>
      <w:r>
        <w:rPr>
          <w:rFonts w:hint="eastAsia" w:cs="Times New Roman"/>
        </w:rPr>
        <w:t>④ 警示牌</w:t>
      </w:r>
    </w:p>
    <w:p>
      <w:pPr>
        <w:ind w:firstLine="560"/>
        <w:rPr>
          <w:rFonts w:cs="Times New Roman"/>
        </w:rPr>
      </w:pPr>
      <w:r>
        <w:rPr>
          <w:rFonts w:hint="eastAsia" w:cs="Times New Roman"/>
        </w:rPr>
        <w:t>规划在湿地公园内交通要道、路口及危险地段设置警示牌200块。</w:t>
      </w:r>
    </w:p>
    <w:p>
      <w:pPr>
        <w:ind w:firstLine="560"/>
        <w:rPr>
          <w:rFonts w:cs="Times New Roman"/>
        </w:rPr>
      </w:pPr>
      <w:r>
        <w:rPr>
          <w:rFonts w:hint="eastAsia" w:cs="Times New Roman"/>
        </w:rPr>
        <w:t>⑤ 动植物物种识别标牌</w:t>
      </w:r>
    </w:p>
    <w:p>
      <w:pPr>
        <w:ind w:firstLine="560"/>
        <w:rPr>
          <w:rFonts w:cs="Times New Roman"/>
        </w:rPr>
      </w:pPr>
      <w:r>
        <w:rPr>
          <w:rFonts w:hint="eastAsia" w:cs="Times New Roman"/>
        </w:rPr>
        <w:t>规划在设置湿地动植物认知牌2000块（含湿地生态植物园800块）。</w:t>
      </w:r>
    </w:p>
    <w:p>
      <w:pPr>
        <w:ind w:firstLine="560"/>
        <w:rPr>
          <w:rFonts w:cs="Times New Roman"/>
        </w:rPr>
      </w:pPr>
      <w:r>
        <w:rPr>
          <w:rFonts w:hint="eastAsia" w:cs="Times New Roman"/>
        </w:rPr>
        <w:t>（3）出版物解说：规划制作印刷湿地公园宣传册，内容包括仙阳湖国家湿地公园的导览图、湿地资源介绍、景观图片、历史典故等，出版物应大小适中，印刷装帧精美，便于携带。在湿地科普馆、湿地教育中心等地免费提供给游客，作为自助旅游者的重要信息来源。规划印制宣传册</w:t>
      </w:r>
      <w:r>
        <w:rPr>
          <w:rFonts w:cs="Times New Roman"/>
        </w:rPr>
        <w:t>10</w:t>
      </w:r>
      <w:r>
        <w:rPr>
          <w:rFonts w:hint="eastAsia" w:cs="Times New Roman"/>
        </w:rPr>
        <w:t>万册。</w:t>
      </w:r>
    </w:p>
    <w:p>
      <w:pPr>
        <w:ind w:firstLine="560"/>
        <w:rPr>
          <w:rFonts w:cs="Times New Roman"/>
        </w:rPr>
      </w:pPr>
      <w:r>
        <w:rPr>
          <w:rFonts w:hint="eastAsia" w:cs="Times New Roman"/>
        </w:rPr>
        <w:t>（4）导游图及导游解说体系：包括湿地公园总平面图、鸟瞰图、各个景点、活动内容与服务设施等的图文介绍。导游解说体系有两种，一是传统的导游解说体系，如旅行社的随团导游或湿地公园的专职导游；二是便携式自助导游解说体系。导游应熟悉湿地公园和相关生态、文化背景知识，应热情大方、服务周到，能针对不同层次游客需要，提供富有特色的导游讲解服务。</w:t>
      </w:r>
    </w:p>
    <w:p>
      <w:pPr>
        <w:ind w:firstLine="560"/>
        <w:rPr>
          <w:rFonts w:cs="Times New Roman"/>
        </w:rPr>
      </w:pPr>
      <w:r>
        <w:rPr>
          <w:rFonts w:hint="eastAsia" w:cs="Times New Roman"/>
        </w:rPr>
        <w:t>此外，在管理服务区还应该建立或完善以下解说系统的内容：</w:t>
      </w:r>
    </w:p>
    <w:p>
      <w:pPr>
        <w:ind w:firstLine="560"/>
        <w:rPr>
          <w:rFonts w:cs="Times New Roman"/>
        </w:rPr>
      </w:pPr>
      <w:r>
        <w:rPr>
          <w:rFonts w:hint="eastAsia" w:cs="Times New Roman"/>
        </w:rPr>
        <w:t>① 提供湿地公园的基本资料，保证游客能获取湿地公园的所有图文资料。</w:t>
      </w:r>
    </w:p>
    <w:p>
      <w:pPr>
        <w:ind w:firstLine="560"/>
        <w:rPr>
          <w:rFonts w:cs="Times New Roman"/>
        </w:rPr>
      </w:pPr>
      <w:r>
        <w:rPr>
          <w:rFonts w:hint="eastAsia" w:cs="Times New Roman"/>
        </w:rPr>
        <w:t>② 提供咨询服务，可采取人员咨询、电话咨询和设电脑触摸屏等形式。</w:t>
      </w:r>
    </w:p>
    <w:p>
      <w:pPr>
        <w:ind w:firstLine="560"/>
        <w:rPr>
          <w:rFonts w:cs="Times New Roman"/>
        </w:rPr>
      </w:pPr>
      <w:r>
        <w:rPr>
          <w:rFonts w:hint="eastAsia" w:cs="Times New Roman"/>
        </w:rPr>
        <w:t>③ 提供游程安排服务，如旅游线路图和日程安排。</w:t>
      </w:r>
    </w:p>
    <w:p>
      <w:pPr>
        <w:ind w:firstLine="560"/>
        <w:rPr>
          <w:rFonts w:cs="Times New Roman"/>
        </w:rPr>
      </w:pPr>
      <w:r>
        <w:rPr>
          <w:rFonts w:hint="eastAsia" w:cs="Times New Roman"/>
        </w:rPr>
        <w:t>④ 提供导游讲解服务，公布湿地公园所有导游人员及语种，设置多媒体影视介绍系统。</w:t>
      </w:r>
    </w:p>
    <w:p>
      <w:pPr>
        <w:widowControl/>
        <w:ind w:firstLine="560"/>
        <w:jc w:val="left"/>
        <w:rPr>
          <w:rFonts w:eastAsia="宋体" w:cs="Times New Roman"/>
          <w:color w:val="000000"/>
          <w:kern w:val="0"/>
          <w:szCs w:val="28"/>
          <w:lang w:bidi="ar"/>
        </w:rPr>
      </w:pPr>
      <w:r>
        <w:rPr>
          <w:rFonts w:ascii="仿宋" w:hAnsi="仿宋" w:cs="仿宋"/>
          <w:color w:val="000000"/>
          <w:kern w:val="0"/>
          <w:szCs w:val="28"/>
          <w:lang w:bidi="ar"/>
        </w:rPr>
        <w:t>以上规划内容见表</w:t>
      </w:r>
      <w:r>
        <w:rPr>
          <w:rFonts w:hint="eastAsia" w:eastAsia="宋体" w:cs="Times New Roman"/>
          <w:color w:val="000000"/>
          <w:kern w:val="0"/>
          <w:szCs w:val="28"/>
          <w:lang w:bidi="ar"/>
        </w:rPr>
        <w:t>7</w:t>
      </w:r>
      <w:r>
        <w:rPr>
          <w:rFonts w:eastAsia="宋体" w:cs="Times New Roman"/>
          <w:color w:val="000000"/>
          <w:kern w:val="0"/>
          <w:szCs w:val="28"/>
          <w:lang w:bidi="ar"/>
        </w:rPr>
        <w:t>-1</w:t>
      </w:r>
      <w:r>
        <w:rPr>
          <w:rFonts w:hint="eastAsia" w:eastAsia="宋体" w:cs="Times New Roman"/>
          <w:color w:val="000000"/>
          <w:kern w:val="0"/>
          <w:szCs w:val="28"/>
          <w:lang w:bidi="ar"/>
        </w:rPr>
        <w:t>。</w:t>
      </w:r>
    </w:p>
    <w:p>
      <w:pPr>
        <w:pStyle w:val="14"/>
        <w:keepNext w:val="0"/>
        <w:pageBreakBefore/>
        <w:spacing w:before="197" w:after="0" w:afterLines="0"/>
        <w:rPr>
          <w:rFonts w:ascii="黑体" w:hAnsi="黑体" w:cs="黑体"/>
          <w:sz w:val="24"/>
          <w:szCs w:val="24"/>
        </w:rPr>
      </w:pPr>
      <w:r>
        <w:rPr>
          <w:rFonts w:hint="eastAsia" w:ascii="黑体" w:hAnsi="黑体" w:cs="黑体"/>
          <w:sz w:val="24"/>
          <w:szCs w:val="24"/>
        </w:rPr>
        <w:t>仙阳湖国家湿地公园科普宣教规划建设内容汇总表</w:t>
      </w:r>
    </w:p>
    <w:p>
      <w:pPr>
        <w:spacing w:line="240" w:lineRule="auto"/>
        <w:ind w:firstLine="0" w:firstLineChars="0"/>
        <w:rPr>
          <w:rFonts w:cs="Times New Roman"/>
          <w:sz w:val="36"/>
          <w:szCs w:val="36"/>
        </w:rPr>
      </w:pPr>
      <w:r>
        <w:rPr>
          <w:rFonts w:hint="eastAsia" w:ascii="黑体" w:hAnsi="黑体" w:eastAsia="黑体" w:cs="黑体"/>
          <w:sz w:val="21"/>
          <w:szCs w:val="21"/>
        </w:rPr>
        <w:t>表</w:t>
      </w:r>
      <w:r>
        <w:rPr>
          <w:rFonts w:ascii="黑体" w:hAnsi="黑体" w:eastAsia="黑体" w:cs="黑体"/>
          <w:sz w:val="21"/>
          <w:szCs w:val="21"/>
        </w:rPr>
        <w:fldChar w:fldCharType="begin"/>
      </w:r>
      <w:r>
        <w:rPr>
          <w:rFonts w:ascii="黑体" w:hAnsi="黑体" w:eastAsia="黑体" w:cs="黑体"/>
          <w:sz w:val="21"/>
          <w:szCs w:val="21"/>
        </w:rPr>
        <w:instrText xml:space="preserve"> </w:instrText>
      </w:r>
      <w:r>
        <w:rPr>
          <w:rFonts w:hint="eastAsia" w:ascii="黑体" w:hAnsi="黑体" w:eastAsia="黑体" w:cs="黑体"/>
          <w:sz w:val="21"/>
          <w:szCs w:val="21"/>
        </w:rPr>
        <w:instrText xml:space="preserve">STYLEREF 1 \s</w:instrText>
      </w:r>
      <w:r>
        <w:rPr>
          <w:rFonts w:ascii="黑体" w:hAnsi="黑体" w:eastAsia="黑体" w:cs="黑体"/>
          <w:sz w:val="21"/>
          <w:szCs w:val="21"/>
        </w:rPr>
        <w:instrText xml:space="preserve"> </w:instrText>
      </w:r>
      <w:r>
        <w:rPr>
          <w:rFonts w:ascii="黑体" w:hAnsi="黑体" w:eastAsia="黑体" w:cs="黑体"/>
          <w:sz w:val="21"/>
          <w:szCs w:val="21"/>
        </w:rPr>
        <w:fldChar w:fldCharType="separate"/>
      </w:r>
      <w:r>
        <w:rPr>
          <w:rFonts w:ascii="黑体" w:hAnsi="黑体" w:eastAsia="黑体" w:cs="黑体"/>
          <w:sz w:val="21"/>
          <w:szCs w:val="21"/>
        </w:rPr>
        <w:t>7</w:t>
      </w:r>
      <w:r>
        <w:rPr>
          <w:rFonts w:ascii="黑体" w:hAnsi="黑体" w:eastAsia="黑体" w:cs="黑体"/>
          <w:sz w:val="21"/>
          <w:szCs w:val="21"/>
        </w:rPr>
        <w:fldChar w:fldCharType="end"/>
      </w:r>
      <w:r>
        <w:rPr>
          <w:rFonts w:ascii="黑体" w:hAnsi="黑体" w:eastAsia="黑体" w:cs="黑体"/>
          <w:sz w:val="21"/>
          <w:szCs w:val="21"/>
        </w:rPr>
        <w:t>-</w:t>
      </w:r>
      <w:r>
        <w:rPr>
          <w:rFonts w:ascii="黑体" w:hAnsi="黑体" w:eastAsia="黑体" w:cs="黑体"/>
          <w:sz w:val="21"/>
          <w:szCs w:val="21"/>
        </w:rPr>
        <w:fldChar w:fldCharType="begin"/>
      </w:r>
      <w:r>
        <w:rPr>
          <w:rFonts w:ascii="黑体" w:hAnsi="黑体" w:eastAsia="黑体" w:cs="黑体"/>
          <w:sz w:val="21"/>
          <w:szCs w:val="21"/>
        </w:rPr>
        <w:instrText xml:space="preserve"> </w:instrText>
      </w:r>
      <w:r>
        <w:rPr>
          <w:rFonts w:hint="eastAsia" w:ascii="黑体" w:hAnsi="黑体" w:eastAsia="黑体" w:cs="黑体"/>
          <w:sz w:val="21"/>
          <w:szCs w:val="21"/>
        </w:rPr>
        <w:instrText xml:space="preserve">SEQ 表 \* ARABIC \s 1</w:instrText>
      </w:r>
      <w:r>
        <w:rPr>
          <w:rFonts w:ascii="黑体" w:hAnsi="黑体" w:eastAsia="黑体" w:cs="黑体"/>
          <w:sz w:val="21"/>
          <w:szCs w:val="21"/>
        </w:rPr>
        <w:instrText xml:space="preserve"> </w:instrText>
      </w:r>
      <w:r>
        <w:rPr>
          <w:rFonts w:ascii="黑体" w:hAnsi="黑体" w:eastAsia="黑体" w:cs="黑体"/>
          <w:sz w:val="21"/>
          <w:szCs w:val="21"/>
        </w:rPr>
        <w:fldChar w:fldCharType="separate"/>
      </w:r>
      <w:r>
        <w:rPr>
          <w:rFonts w:ascii="黑体" w:hAnsi="黑体" w:eastAsia="黑体" w:cs="黑体"/>
          <w:sz w:val="21"/>
          <w:szCs w:val="21"/>
        </w:rPr>
        <w:t>1</w:t>
      </w:r>
      <w:r>
        <w:rPr>
          <w:rFonts w:ascii="黑体" w:hAnsi="黑体" w:eastAsia="黑体" w:cs="黑体"/>
          <w:sz w:val="21"/>
          <w:szCs w:val="21"/>
        </w:rPr>
        <w:fldChar w:fldCharType="end"/>
      </w:r>
      <w:r>
        <w:rPr>
          <w:rFonts w:cs="Times New Roman"/>
          <w:sz w:val="21"/>
          <w:szCs w:val="21"/>
        </w:rPr>
        <w:t xml:space="preserve"> </w:t>
      </w:r>
    </w:p>
    <w:tbl>
      <w:tblPr>
        <w:tblStyle w:val="33"/>
        <w:tblW w:w="0" w:type="auto"/>
        <w:tblInd w:w="1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0"/>
        <w:gridCol w:w="890"/>
        <w:gridCol w:w="1630"/>
        <w:gridCol w:w="917"/>
        <w:gridCol w:w="968"/>
        <w:gridCol w:w="1977"/>
        <w:gridCol w:w="777"/>
        <w:gridCol w:w="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890" w:type="dxa"/>
            <w:vMerge w:val="restart"/>
            <w:vAlign w:val="center"/>
          </w:tcPr>
          <w:p>
            <w:pPr>
              <w:pStyle w:val="44"/>
              <w:rPr>
                <w:rFonts w:eastAsia="仿宋" w:cs="Times New Roman"/>
                <w:szCs w:val="21"/>
              </w:rPr>
            </w:pPr>
            <w:r>
              <w:rPr>
                <w:rFonts w:hint="eastAsia" w:eastAsia="仿宋" w:cs="Times New Roman"/>
                <w:szCs w:val="21"/>
              </w:rPr>
              <w:t>序号</w:t>
            </w:r>
          </w:p>
        </w:tc>
        <w:tc>
          <w:tcPr>
            <w:tcW w:w="2520" w:type="dxa"/>
            <w:gridSpan w:val="2"/>
            <w:vMerge w:val="restart"/>
            <w:vAlign w:val="center"/>
          </w:tcPr>
          <w:p>
            <w:pPr>
              <w:pStyle w:val="44"/>
              <w:rPr>
                <w:rFonts w:eastAsia="仿宋" w:cs="Times New Roman"/>
                <w:szCs w:val="21"/>
              </w:rPr>
            </w:pPr>
            <w:r>
              <w:rPr>
                <w:rFonts w:hint="eastAsia" w:eastAsia="仿宋" w:cs="Times New Roman"/>
                <w:szCs w:val="21"/>
              </w:rPr>
              <w:t>建设内容</w:t>
            </w:r>
          </w:p>
        </w:tc>
        <w:tc>
          <w:tcPr>
            <w:tcW w:w="1885" w:type="dxa"/>
            <w:gridSpan w:val="2"/>
            <w:vAlign w:val="center"/>
          </w:tcPr>
          <w:p>
            <w:pPr>
              <w:pStyle w:val="44"/>
              <w:rPr>
                <w:rFonts w:eastAsia="仿宋" w:cs="Times New Roman"/>
                <w:szCs w:val="21"/>
              </w:rPr>
            </w:pPr>
            <w:r>
              <w:rPr>
                <w:rFonts w:hint="eastAsia" w:eastAsia="仿宋" w:cs="Times New Roman"/>
                <w:szCs w:val="21"/>
              </w:rPr>
              <w:t>建设规模</w:t>
            </w:r>
          </w:p>
        </w:tc>
        <w:tc>
          <w:tcPr>
            <w:tcW w:w="1977" w:type="dxa"/>
            <w:vMerge w:val="restart"/>
            <w:vAlign w:val="center"/>
          </w:tcPr>
          <w:p>
            <w:pPr>
              <w:pStyle w:val="44"/>
              <w:rPr>
                <w:rFonts w:eastAsia="仿宋" w:cs="Times New Roman"/>
                <w:szCs w:val="21"/>
              </w:rPr>
            </w:pPr>
            <w:r>
              <w:rPr>
                <w:rFonts w:hint="eastAsia" w:eastAsia="仿宋" w:cs="Times New Roman"/>
                <w:szCs w:val="21"/>
              </w:rPr>
              <w:t>建设地点</w:t>
            </w:r>
          </w:p>
        </w:tc>
        <w:tc>
          <w:tcPr>
            <w:tcW w:w="1488" w:type="dxa"/>
            <w:gridSpan w:val="2"/>
            <w:vAlign w:val="center"/>
          </w:tcPr>
          <w:p>
            <w:pPr>
              <w:pStyle w:val="44"/>
              <w:rPr>
                <w:rFonts w:eastAsia="仿宋" w:cs="Times New Roman"/>
                <w:szCs w:val="21"/>
              </w:rPr>
            </w:pPr>
            <w:r>
              <w:rPr>
                <w:rFonts w:hint="eastAsia" w:eastAsia="仿宋" w:cs="Times New Roman"/>
                <w:szCs w:val="21"/>
              </w:rPr>
              <w:t>建设期限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890" w:type="dxa"/>
            <w:vMerge w:val="continue"/>
            <w:vAlign w:val="center"/>
          </w:tcPr>
          <w:p>
            <w:pPr>
              <w:pStyle w:val="44"/>
              <w:rPr>
                <w:rFonts w:eastAsia="仿宋" w:cs="Times New Roman"/>
                <w:szCs w:val="21"/>
              </w:rPr>
            </w:pPr>
          </w:p>
        </w:tc>
        <w:tc>
          <w:tcPr>
            <w:tcW w:w="2520" w:type="dxa"/>
            <w:gridSpan w:val="2"/>
            <w:vMerge w:val="continue"/>
            <w:vAlign w:val="center"/>
          </w:tcPr>
          <w:p>
            <w:pPr>
              <w:pStyle w:val="44"/>
              <w:rPr>
                <w:rFonts w:eastAsia="仿宋" w:cs="Times New Roman"/>
                <w:szCs w:val="21"/>
              </w:rPr>
            </w:pPr>
          </w:p>
        </w:tc>
        <w:tc>
          <w:tcPr>
            <w:tcW w:w="917" w:type="dxa"/>
            <w:vAlign w:val="center"/>
          </w:tcPr>
          <w:p>
            <w:pPr>
              <w:pStyle w:val="44"/>
              <w:rPr>
                <w:rFonts w:eastAsia="仿宋" w:cs="Times New Roman"/>
                <w:szCs w:val="21"/>
              </w:rPr>
            </w:pPr>
            <w:r>
              <w:rPr>
                <w:rFonts w:hint="eastAsia" w:eastAsia="仿宋" w:cs="Times New Roman"/>
                <w:szCs w:val="21"/>
              </w:rPr>
              <w:t>单位</w:t>
            </w:r>
          </w:p>
        </w:tc>
        <w:tc>
          <w:tcPr>
            <w:tcW w:w="968" w:type="dxa"/>
            <w:vAlign w:val="center"/>
          </w:tcPr>
          <w:p>
            <w:pPr>
              <w:pStyle w:val="44"/>
              <w:rPr>
                <w:rFonts w:eastAsia="仿宋" w:cs="Times New Roman"/>
                <w:szCs w:val="21"/>
              </w:rPr>
            </w:pPr>
            <w:r>
              <w:rPr>
                <w:rFonts w:hint="eastAsia" w:eastAsia="仿宋" w:cs="Times New Roman"/>
                <w:szCs w:val="21"/>
              </w:rPr>
              <w:t>数量</w:t>
            </w:r>
          </w:p>
        </w:tc>
        <w:tc>
          <w:tcPr>
            <w:tcW w:w="1977" w:type="dxa"/>
            <w:vMerge w:val="continue"/>
            <w:vAlign w:val="center"/>
          </w:tcPr>
          <w:p>
            <w:pPr>
              <w:pStyle w:val="44"/>
              <w:rPr>
                <w:rFonts w:eastAsia="仿宋" w:cs="Times New Roman"/>
                <w:szCs w:val="21"/>
              </w:rPr>
            </w:pPr>
          </w:p>
        </w:tc>
        <w:tc>
          <w:tcPr>
            <w:tcW w:w="777" w:type="dxa"/>
            <w:vAlign w:val="center"/>
          </w:tcPr>
          <w:p>
            <w:pPr>
              <w:pStyle w:val="44"/>
              <w:rPr>
                <w:rFonts w:eastAsia="仿宋" w:cs="Times New Roman"/>
                <w:szCs w:val="21"/>
              </w:rPr>
            </w:pPr>
            <w:r>
              <w:rPr>
                <w:rFonts w:hint="eastAsia" w:eastAsia="仿宋" w:cs="Times New Roman"/>
                <w:szCs w:val="21"/>
              </w:rPr>
              <w:t>前期</w:t>
            </w:r>
          </w:p>
        </w:tc>
        <w:tc>
          <w:tcPr>
            <w:tcW w:w="711" w:type="dxa"/>
            <w:vAlign w:val="center"/>
          </w:tcPr>
          <w:p>
            <w:pPr>
              <w:pStyle w:val="44"/>
              <w:rPr>
                <w:rFonts w:eastAsia="仿宋" w:cs="Times New Roman"/>
                <w:szCs w:val="21"/>
              </w:rPr>
            </w:pPr>
            <w:r>
              <w:rPr>
                <w:rFonts w:hint="eastAsia" w:eastAsia="仿宋" w:cs="Times New Roman"/>
                <w:szCs w:val="21"/>
              </w:rPr>
              <w:t>后期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0" w:type="dxa"/>
            <w:vMerge w:val="restart"/>
            <w:vAlign w:val="center"/>
          </w:tcPr>
          <w:p>
            <w:pPr>
              <w:pStyle w:val="45"/>
              <w:rPr>
                <w:rFonts w:eastAsia="仿宋" w:cs="Times New Roman"/>
                <w:sz w:val="21"/>
                <w:szCs w:val="21"/>
              </w:rPr>
            </w:pPr>
            <w:r>
              <w:rPr>
                <w:rFonts w:eastAsia="仿宋" w:cs="Times New Roman"/>
                <w:sz w:val="21"/>
                <w:szCs w:val="21"/>
              </w:rPr>
              <w:t>1</w:t>
            </w:r>
          </w:p>
        </w:tc>
        <w:tc>
          <w:tcPr>
            <w:tcW w:w="890" w:type="dxa"/>
            <w:vMerge w:val="restart"/>
            <w:vAlign w:val="center"/>
          </w:tcPr>
          <w:p>
            <w:pPr>
              <w:pStyle w:val="45"/>
              <w:rPr>
                <w:rFonts w:eastAsia="仿宋" w:cs="Times New Roman"/>
                <w:sz w:val="21"/>
                <w:szCs w:val="21"/>
              </w:rPr>
            </w:pPr>
            <w:r>
              <w:rPr>
                <w:rFonts w:hint="eastAsia" w:eastAsia="仿宋" w:cs="Times New Roman"/>
                <w:sz w:val="21"/>
                <w:szCs w:val="21"/>
              </w:rPr>
              <w:t>湿地科普宣教中心</w:t>
            </w:r>
          </w:p>
        </w:tc>
        <w:tc>
          <w:tcPr>
            <w:tcW w:w="1630" w:type="dxa"/>
            <w:vAlign w:val="center"/>
          </w:tcPr>
          <w:p>
            <w:pPr>
              <w:pStyle w:val="45"/>
              <w:rPr>
                <w:rFonts w:eastAsia="仿宋" w:cs="Times New Roman"/>
                <w:sz w:val="21"/>
                <w:szCs w:val="21"/>
              </w:rPr>
            </w:pPr>
            <w:r>
              <w:rPr>
                <w:rFonts w:hint="eastAsia" w:eastAsia="仿宋" w:cs="Times New Roman"/>
                <w:sz w:val="21"/>
                <w:szCs w:val="21"/>
              </w:rPr>
              <w:t>湿地科普宣教中心</w:t>
            </w:r>
          </w:p>
        </w:tc>
        <w:tc>
          <w:tcPr>
            <w:tcW w:w="917" w:type="dxa"/>
            <w:vAlign w:val="center"/>
          </w:tcPr>
          <w:p>
            <w:pPr>
              <w:pStyle w:val="45"/>
              <w:rPr>
                <w:rFonts w:eastAsia="仿宋" w:cs="Times New Roman"/>
                <w:sz w:val="21"/>
                <w:szCs w:val="21"/>
              </w:rPr>
            </w:pPr>
            <w:r>
              <w:rPr>
                <w:rFonts w:hint="eastAsia" w:eastAsia="仿宋" w:cs="Times New Roman"/>
                <w:sz w:val="21"/>
                <w:szCs w:val="21"/>
              </w:rPr>
              <w:t>平方米</w:t>
            </w:r>
          </w:p>
        </w:tc>
        <w:tc>
          <w:tcPr>
            <w:tcW w:w="968" w:type="dxa"/>
            <w:vAlign w:val="center"/>
          </w:tcPr>
          <w:p>
            <w:pPr>
              <w:pStyle w:val="45"/>
              <w:rPr>
                <w:rFonts w:eastAsia="仿宋" w:cs="Times New Roman"/>
                <w:sz w:val="21"/>
                <w:szCs w:val="21"/>
              </w:rPr>
            </w:pPr>
            <w:r>
              <w:rPr>
                <w:rFonts w:hint="eastAsia" w:eastAsia="仿宋" w:cs="Times New Roman"/>
                <w:sz w:val="21"/>
                <w:szCs w:val="21"/>
              </w:rPr>
              <w:t>2</w:t>
            </w:r>
            <w:r>
              <w:rPr>
                <w:rFonts w:eastAsia="仿宋" w:cs="Times New Roman"/>
                <w:sz w:val="21"/>
                <w:szCs w:val="21"/>
              </w:rPr>
              <w:t>000</w:t>
            </w:r>
          </w:p>
        </w:tc>
        <w:tc>
          <w:tcPr>
            <w:tcW w:w="1977" w:type="dxa"/>
            <w:vAlign w:val="center"/>
          </w:tcPr>
          <w:p>
            <w:pPr>
              <w:pStyle w:val="45"/>
              <w:rPr>
                <w:rFonts w:eastAsia="仿宋" w:cs="Times New Roman"/>
                <w:sz w:val="21"/>
                <w:szCs w:val="21"/>
              </w:rPr>
            </w:pPr>
            <w:r>
              <w:rPr>
                <w:rFonts w:hint="eastAsia" w:eastAsia="仿宋" w:cs="Times New Roman"/>
                <w:sz w:val="21"/>
                <w:szCs w:val="21"/>
              </w:rPr>
              <w:t>皂市镇彭家堡</w:t>
            </w:r>
          </w:p>
        </w:tc>
        <w:tc>
          <w:tcPr>
            <w:tcW w:w="777" w:type="dxa"/>
            <w:vAlign w:val="center"/>
          </w:tcPr>
          <w:p>
            <w:pPr>
              <w:pStyle w:val="45"/>
              <w:rPr>
                <w:rFonts w:eastAsia="仿宋" w:cs="Times New Roman"/>
                <w:sz w:val="21"/>
                <w:szCs w:val="21"/>
              </w:rPr>
            </w:pPr>
            <w:r>
              <w:rPr>
                <w:rFonts w:hint="eastAsia" w:eastAsia="仿宋" w:cs="Times New Roman"/>
                <w:sz w:val="21"/>
                <w:szCs w:val="21"/>
              </w:rPr>
              <w:t>√</w:t>
            </w:r>
          </w:p>
        </w:tc>
        <w:tc>
          <w:tcPr>
            <w:tcW w:w="711"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0" w:type="dxa"/>
            <w:vMerge w:val="continue"/>
            <w:vAlign w:val="center"/>
          </w:tcPr>
          <w:p>
            <w:pPr>
              <w:pStyle w:val="45"/>
              <w:rPr>
                <w:rFonts w:eastAsia="仿宋" w:cs="Times New Roman"/>
                <w:sz w:val="21"/>
                <w:szCs w:val="21"/>
              </w:rPr>
            </w:pPr>
          </w:p>
        </w:tc>
        <w:tc>
          <w:tcPr>
            <w:tcW w:w="890" w:type="dxa"/>
            <w:vMerge w:val="continue"/>
            <w:vAlign w:val="center"/>
          </w:tcPr>
          <w:p>
            <w:pPr>
              <w:pStyle w:val="45"/>
              <w:rPr>
                <w:rFonts w:eastAsia="仿宋" w:cs="Times New Roman"/>
                <w:sz w:val="21"/>
                <w:szCs w:val="21"/>
              </w:rPr>
            </w:pPr>
          </w:p>
        </w:tc>
        <w:tc>
          <w:tcPr>
            <w:tcW w:w="1630" w:type="dxa"/>
            <w:vAlign w:val="center"/>
          </w:tcPr>
          <w:p>
            <w:pPr>
              <w:pStyle w:val="45"/>
              <w:rPr>
                <w:rFonts w:eastAsia="仿宋" w:cs="Times New Roman"/>
                <w:sz w:val="21"/>
                <w:szCs w:val="21"/>
              </w:rPr>
            </w:pPr>
            <w:r>
              <w:rPr>
                <w:rFonts w:hint="eastAsia" w:eastAsia="仿宋" w:cs="Times New Roman"/>
                <w:sz w:val="21"/>
                <w:szCs w:val="21"/>
              </w:rPr>
              <w:t>宣教设备</w:t>
            </w:r>
          </w:p>
        </w:tc>
        <w:tc>
          <w:tcPr>
            <w:tcW w:w="917" w:type="dxa"/>
            <w:vAlign w:val="center"/>
          </w:tcPr>
          <w:p>
            <w:pPr>
              <w:pStyle w:val="45"/>
              <w:rPr>
                <w:rFonts w:eastAsia="仿宋" w:cs="Times New Roman"/>
                <w:sz w:val="21"/>
                <w:szCs w:val="21"/>
              </w:rPr>
            </w:pPr>
            <w:r>
              <w:rPr>
                <w:rFonts w:hint="eastAsia" w:eastAsia="仿宋" w:cs="Times New Roman"/>
                <w:sz w:val="21"/>
                <w:szCs w:val="21"/>
              </w:rPr>
              <w:t>套</w:t>
            </w:r>
          </w:p>
        </w:tc>
        <w:tc>
          <w:tcPr>
            <w:tcW w:w="968" w:type="dxa"/>
            <w:vAlign w:val="center"/>
          </w:tcPr>
          <w:p>
            <w:pPr>
              <w:pStyle w:val="45"/>
              <w:rPr>
                <w:rFonts w:eastAsia="仿宋" w:cs="Times New Roman"/>
                <w:sz w:val="21"/>
                <w:szCs w:val="21"/>
              </w:rPr>
            </w:pPr>
            <w:r>
              <w:rPr>
                <w:rFonts w:eastAsia="仿宋" w:cs="Times New Roman"/>
                <w:sz w:val="21"/>
                <w:szCs w:val="21"/>
              </w:rPr>
              <w:t>1</w:t>
            </w:r>
          </w:p>
        </w:tc>
        <w:tc>
          <w:tcPr>
            <w:tcW w:w="1977" w:type="dxa"/>
            <w:vAlign w:val="center"/>
          </w:tcPr>
          <w:p>
            <w:pPr>
              <w:pStyle w:val="45"/>
              <w:rPr>
                <w:rFonts w:eastAsia="仿宋" w:cs="Times New Roman"/>
                <w:sz w:val="21"/>
                <w:szCs w:val="21"/>
              </w:rPr>
            </w:pPr>
            <w:r>
              <w:rPr>
                <w:rFonts w:hint="eastAsia" w:eastAsia="仿宋" w:cs="Times New Roman"/>
                <w:sz w:val="21"/>
                <w:szCs w:val="21"/>
              </w:rPr>
              <w:t>湿地科普宣教中心</w:t>
            </w:r>
          </w:p>
        </w:tc>
        <w:tc>
          <w:tcPr>
            <w:tcW w:w="777" w:type="dxa"/>
            <w:vAlign w:val="center"/>
          </w:tcPr>
          <w:p>
            <w:pPr>
              <w:pStyle w:val="45"/>
              <w:rPr>
                <w:rFonts w:eastAsia="仿宋" w:cs="Times New Roman"/>
                <w:sz w:val="21"/>
                <w:szCs w:val="21"/>
              </w:rPr>
            </w:pPr>
            <w:r>
              <w:rPr>
                <w:rFonts w:hint="eastAsia" w:eastAsia="仿宋" w:cs="Times New Roman"/>
                <w:sz w:val="21"/>
                <w:szCs w:val="21"/>
              </w:rPr>
              <w:t>√</w:t>
            </w:r>
          </w:p>
        </w:tc>
        <w:tc>
          <w:tcPr>
            <w:tcW w:w="711"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0" w:type="dxa"/>
            <w:vAlign w:val="center"/>
          </w:tcPr>
          <w:p>
            <w:pPr>
              <w:pStyle w:val="45"/>
              <w:rPr>
                <w:rFonts w:eastAsia="仿宋" w:cs="Times New Roman"/>
                <w:sz w:val="21"/>
                <w:szCs w:val="21"/>
              </w:rPr>
            </w:pPr>
            <w:r>
              <w:rPr>
                <w:rFonts w:eastAsia="仿宋" w:cs="Times New Roman"/>
                <w:sz w:val="21"/>
                <w:szCs w:val="21"/>
              </w:rPr>
              <w:t>2</w:t>
            </w:r>
          </w:p>
        </w:tc>
        <w:tc>
          <w:tcPr>
            <w:tcW w:w="2520" w:type="dxa"/>
            <w:gridSpan w:val="2"/>
            <w:vAlign w:val="center"/>
          </w:tcPr>
          <w:p>
            <w:pPr>
              <w:pStyle w:val="45"/>
              <w:rPr>
                <w:rFonts w:eastAsia="仿宋" w:cs="Times New Roman"/>
                <w:sz w:val="21"/>
                <w:szCs w:val="21"/>
              </w:rPr>
            </w:pPr>
            <w:r>
              <w:rPr>
                <w:rFonts w:hint="eastAsia" w:eastAsia="仿宋" w:cs="Times New Roman"/>
                <w:sz w:val="21"/>
                <w:szCs w:val="21"/>
              </w:rPr>
              <w:t>湿地生态教育广场</w:t>
            </w:r>
          </w:p>
        </w:tc>
        <w:tc>
          <w:tcPr>
            <w:tcW w:w="917" w:type="dxa"/>
            <w:vAlign w:val="center"/>
          </w:tcPr>
          <w:p>
            <w:pPr>
              <w:pStyle w:val="45"/>
              <w:rPr>
                <w:rFonts w:eastAsia="仿宋" w:cs="Times New Roman"/>
                <w:sz w:val="21"/>
                <w:szCs w:val="21"/>
              </w:rPr>
            </w:pPr>
            <w:r>
              <w:rPr>
                <w:rFonts w:hint="eastAsia" w:eastAsia="仿宋" w:cs="Times New Roman"/>
                <w:sz w:val="21"/>
                <w:szCs w:val="21"/>
              </w:rPr>
              <w:t>平方米</w:t>
            </w:r>
          </w:p>
        </w:tc>
        <w:tc>
          <w:tcPr>
            <w:tcW w:w="968" w:type="dxa"/>
            <w:vAlign w:val="center"/>
          </w:tcPr>
          <w:p>
            <w:pPr>
              <w:pStyle w:val="45"/>
              <w:rPr>
                <w:rFonts w:eastAsia="仿宋" w:cs="Times New Roman"/>
                <w:sz w:val="21"/>
                <w:szCs w:val="21"/>
              </w:rPr>
            </w:pPr>
            <w:r>
              <w:rPr>
                <w:rFonts w:hint="eastAsia" w:eastAsia="仿宋" w:cs="Times New Roman"/>
                <w:sz w:val="21"/>
                <w:szCs w:val="21"/>
              </w:rPr>
              <w:t>13</w:t>
            </w:r>
            <w:r>
              <w:rPr>
                <w:rFonts w:eastAsia="仿宋" w:cs="Times New Roman"/>
                <w:sz w:val="21"/>
                <w:szCs w:val="21"/>
              </w:rPr>
              <w:t>000</w:t>
            </w:r>
          </w:p>
        </w:tc>
        <w:tc>
          <w:tcPr>
            <w:tcW w:w="1977" w:type="dxa"/>
            <w:vAlign w:val="center"/>
          </w:tcPr>
          <w:p>
            <w:pPr>
              <w:pStyle w:val="45"/>
              <w:rPr>
                <w:rFonts w:eastAsia="仿宋" w:cs="Times New Roman"/>
                <w:sz w:val="21"/>
                <w:szCs w:val="21"/>
              </w:rPr>
            </w:pPr>
            <w:r>
              <w:rPr>
                <w:rFonts w:hint="eastAsia" w:eastAsia="仿宋" w:cs="Times New Roman"/>
                <w:sz w:val="21"/>
                <w:szCs w:val="21"/>
              </w:rPr>
              <w:t>皂市镇彭家堡、白云镇、磨市镇、马鞍岛</w:t>
            </w:r>
          </w:p>
        </w:tc>
        <w:tc>
          <w:tcPr>
            <w:tcW w:w="777" w:type="dxa"/>
            <w:vAlign w:val="center"/>
          </w:tcPr>
          <w:p>
            <w:pPr>
              <w:pStyle w:val="45"/>
              <w:rPr>
                <w:rFonts w:eastAsia="仿宋" w:cs="Times New Roman"/>
                <w:sz w:val="21"/>
                <w:szCs w:val="21"/>
              </w:rPr>
            </w:pPr>
            <w:r>
              <w:rPr>
                <w:rFonts w:hint="eastAsia" w:eastAsia="仿宋" w:cs="Times New Roman"/>
                <w:sz w:val="21"/>
                <w:szCs w:val="21"/>
              </w:rPr>
              <w:t>√</w:t>
            </w:r>
          </w:p>
        </w:tc>
        <w:tc>
          <w:tcPr>
            <w:tcW w:w="711"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0" w:type="dxa"/>
            <w:vAlign w:val="center"/>
          </w:tcPr>
          <w:p>
            <w:pPr>
              <w:pStyle w:val="45"/>
              <w:rPr>
                <w:rFonts w:eastAsia="仿宋" w:cs="Times New Roman"/>
                <w:sz w:val="21"/>
                <w:szCs w:val="21"/>
              </w:rPr>
            </w:pPr>
            <w:r>
              <w:rPr>
                <w:rFonts w:eastAsia="仿宋" w:cs="Times New Roman"/>
                <w:sz w:val="21"/>
                <w:szCs w:val="21"/>
              </w:rPr>
              <w:t>3</w:t>
            </w:r>
          </w:p>
        </w:tc>
        <w:tc>
          <w:tcPr>
            <w:tcW w:w="2520" w:type="dxa"/>
            <w:gridSpan w:val="2"/>
            <w:vAlign w:val="center"/>
          </w:tcPr>
          <w:p>
            <w:pPr>
              <w:pStyle w:val="45"/>
              <w:rPr>
                <w:rFonts w:eastAsia="仿宋" w:cs="Times New Roman"/>
                <w:sz w:val="21"/>
                <w:szCs w:val="21"/>
              </w:rPr>
            </w:pPr>
            <w:r>
              <w:rPr>
                <w:rFonts w:hint="eastAsia" w:eastAsia="仿宋" w:cs="Times New Roman"/>
                <w:sz w:val="21"/>
                <w:szCs w:val="21"/>
              </w:rPr>
              <w:t>湿地科普宣教长廊</w:t>
            </w:r>
          </w:p>
        </w:tc>
        <w:tc>
          <w:tcPr>
            <w:tcW w:w="917" w:type="dxa"/>
            <w:vAlign w:val="center"/>
          </w:tcPr>
          <w:p>
            <w:pPr>
              <w:pStyle w:val="45"/>
              <w:rPr>
                <w:rFonts w:eastAsia="仿宋" w:cs="Times New Roman"/>
                <w:sz w:val="21"/>
                <w:szCs w:val="21"/>
              </w:rPr>
            </w:pPr>
            <w:r>
              <w:rPr>
                <w:rFonts w:hint="eastAsia" w:eastAsia="仿宋" w:cs="Times New Roman"/>
                <w:sz w:val="21"/>
                <w:szCs w:val="21"/>
              </w:rPr>
              <w:t>千米</w:t>
            </w:r>
          </w:p>
        </w:tc>
        <w:tc>
          <w:tcPr>
            <w:tcW w:w="968" w:type="dxa"/>
            <w:vAlign w:val="center"/>
          </w:tcPr>
          <w:p>
            <w:pPr>
              <w:pStyle w:val="45"/>
              <w:rPr>
                <w:rFonts w:eastAsia="仿宋" w:cs="Times New Roman"/>
                <w:sz w:val="21"/>
                <w:szCs w:val="21"/>
              </w:rPr>
            </w:pPr>
            <w:r>
              <w:rPr>
                <w:rFonts w:hint="eastAsia" w:eastAsia="仿宋" w:cs="Times New Roman"/>
                <w:sz w:val="21"/>
                <w:szCs w:val="21"/>
              </w:rPr>
              <w:t>40</w:t>
            </w:r>
          </w:p>
        </w:tc>
        <w:tc>
          <w:tcPr>
            <w:tcW w:w="1977" w:type="dxa"/>
            <w:vAlign w:val="center"/>
          </w:tcPr>
          <w:p>
            <w:pPr>
              <w:pStyle w:val="45"/>
              <w:rPr>
                <w:rFonts w:eastAsia="仿宋" w:cs="Times New Roman"/>
                <w:sz w:val="21"/>
                <w:szCs w:val="21"/>
              </w:rPr>
            </w:pPr>
            <w:r>
              <w:rPr>
                <w:rFonts w:hint="eastAsia" w:eastAsia="仿宋" w:cs="Times New Roman"/>
                <w:sz w:val="21"/>
                <w:szCs w:val="21"/>
              </w:rPr>
              <w:t>皂市镇、维新镇、白云镇、磨市镇</w:t>
            </w:r>
          </w:p>
        </w:tc>
        <w:tc>
          <w:tcPr>
            <w:tcW w:w="777" w:type="dxa"/>
            <w:vAlign w:val="center"/>
          </w:tcPr>
          <w:p>
            <w:pPr>
              <w:pStyle w:val="45"/>
              <w:rPr>
                <w:rFonts w:eastAsia="仿宋" w:cs="Times New Roman"/>
                <w:sz w:val="21"/>
                <w:szCs w:val="21"/>
              </w:rPr>
            </w:pPr>
          </w:p>
        </w:tc>
        <w:tc>
          <w:tcPr>
            <w:tcW w:w="711"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0" w:type="dxa"/>
            <w:vAlign w:val="center"/>
          </w:tcPr>
          <w:p>
            <w:pPr>
              <w:pStyle w:val="45"/>
              <w:rPr>
                <w:rFonts w:eastAsia="仿宋" w:cs="Times New Roman"/>
                <w:sz w:val="21"/>
                <w:szCs w:val="21"/>
              </w:rPr>
            </w:pPr>
            <w:r>
              <w:rPr>
                <w:rFonts w:eastAsia="仿宋" w:cs="Times New Roman"/>
                <w:sz w:val="21"/>
                <w:szCs w:val="21"/>
              </w:rPr>
              <w:t>4</w:t>
            </w:r>
          </w:p>
        </w:tc>
        <w:tc>
          <w:tcPr>
            <w:tcW w:w="2520" w:type="dxa"/>
            <w:gridSpan w:val="2"/>
            <w:vAlign w:val="center"/>
          </w:tcPr>
          <w:p>
            <w:pPr>
              <w:pStyle w:val="45"/>
              <w:rPr>
                <w:rFonts w:eastAsia="仿宋" w:cs="Times New Roman"/>
                <w:sz w:val="21"/>
                <w:szCs w:val="21"/>
              </w:rPr>
            </w:pPr>
            <w:r>
              <w:rPr>
                <w:rFonts w:hint="eastAsia" w:eastAsia="仿宋" w:cs="Times New Roman"/>
                <w:sz w:val="21"/>
                <w:szCs w:val="21"/>
              </w:rPr>
              <w:t>湿地植物展示园</w:t>
            </w:r>
          </w:p>
        </w:tc>
        <w:tc>
          <w:tcPr>
            <w:tcW w:w="917" w:type="dxa"/>
            <w:vAlign w:val="center"/>
          </w:tcPr>
          <w:p>
            <w:pPr>
              <w:pStyle w:val="45"/>
              <w:rPr>
                <w:rFonts w:eastAsia="仿宋" w:cs="Times New Roman"/>
                <w:sz w:val="21"/>
                <w:szCs w:val="21"/>
              </w:rPr>
            </w:pPr>
            <w:r>
              <w:rPr>
                <w:rFonts w:hint="eastAsia" w:eastAsia="仿宋" w:cs="Times New Roman"/>
                <w:sz w:val="21"/>
                <w:szCs w:val="21"/>
              </w:rPr>
              <w:t>公顷</w:t>
            </w:r>
          </w:p>
        </w:tc>
        <w:tc>
          <w:tcPr>
            <w:tcW w:w="968" w:type="dxa"/>
            <w:vAlign w:val="center"/>
          </w:tcPr>
          <w:p>
            <w:pPr>
              <w:pStyle w:val="45"/>
              <w:rPr>
                <w:rFonts w:eastAsia="仿宋" w:cs="Times New Roman"/>
                <w:sz w:val="21"/>
                <w:szCs w:val="21"/>
              </w:rPr>
            </w:pPr>
            <w:r>
              <w:rPr>
                <w:rFonts w:eastAsia="仿宋" w:cs="Times New Roman"/>
                <w:sz w:val="21"/>
                <w:szCs w:val="21"/>
              </w:rPr>
              <w:t>2</w:t>
            </w:r>
            <w:r>
              <w:rPr>
                <w:rFonts w:hint="eastAsia" w:eastAsia="仿宋" w:cs="Times New Roman"/>
                <w:sz w:val="21"/>
                <w:szCs w:val="21"/>
              </w:rPr>
              <w:t>0</w:t>
            </w:r>
            <w:r>
              <w:rPr>
                <w:rFonts w:eastAsia="仿宋" w:cs="Times New Roman"/>
                <w:sz w:val="21"/>
                <w:szCs w:val="21"/>
              </w:rPr>
              <w:t>0</w:t>
            </w:r>
          </w:p>
        </w:tc>
        <w:tc>
          <w:tcPr>
            <w:tcW w:w="1977" w:type="dxa"/>
            <w:vAlign w:val="center"/>
          </w:tcPr>
          <w:p>
            <w:pPr>
              <w:pStyle w:val="45"/>
              <w:rPr>
                <w:rFonts w:eastAsia="仿宋" w:cs="Times New Roman"/>
                <w:sz w:val="21"/>
                <w:szCs w:val="21"/>
              </w:rPr>
            </w:pPr>
            <w:r>
              <w:rPr>
                <w:rFonts w:hint="eastAsia" w:eastAsia="仿宋" w:cs="Times New Roman"/>
                <w:sz w:val="21"/>
                <w:szCs w:val="21"/>
              </w:rPr>
              <w:t>月光岛、彭家湾、马鞍岛</w:t>
            </w:r>
          </w:p>
        </w:tc>
        <w:tc>
          <w:tcPr>
            <w:tcW w:w="777" w:type="dxa"/>
            <w:vAlign w:val="center"/>
          </w:tcPr>
          <w:p>
            <w:pPr>
              <w:pStyle w:val="45"/>
              <w:rPr>
                <w:rFonts w:eastAsia="仿宋" w:cs="Times New Roman"/>
                <w:sz w:val="21"/>
                <w:szCs w:val="21"/>
              </w:rPr>
            </w:pPr>
          </w:p>
        </w:tc>
        <w:tc>
          <w:tcPr>
            <w:tcW w:w="711"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0" w:type="dxa"/>
            <w:vMerge w:val="restart"/>
            <w:vAlign w:val="center"/>
          </w:tcPr>
          <w:p>
            <w:pPr>
              <w:pStyle w:val="45"/>
              <w:rPr>
                <w:rFonts w:eastAsia="仿宋" w:cs="Times New Roman"/>
                <w:sz w:val="21"/>
                <w:szCs w:val="21"/>
              </w:rPr>
            </w:pPr>
            <w:r>
              <w:rPr>
                <w:rFonts w:eastAsia="仿宋" w:cs="Times New Roman"/>
                <w:sz w:val="21"/>
                <w:szCs w:val="21"/>
              </w:rPr>
              <w:t>5</w:t>
            </w:r>
          </w:p>
        </w:tc>
        <w:tc>
          <w:tcPr>
            <w:tcW w:w="890" w:type="dxa"/>
            <w:vMerge w:val="restart"/>
            <w:vAlign w:val="center"/>
          </w:tcPr>
          <w:p>
            <w:pPr>
              <w:pStyle w:val="45"/>
              <w:rPr>
                <w:rFonts w:eastAsia="仿宋" w:cs="Times New Roman"/>
                <w:sz w:val="21"/>
                <w:szCs w:val="21"/>
              </w:rPr>
            </w:pPr>
            <w:r>
              <w:rPr>
                <w:rFonts w:hint="eastAsia" w:eastAsia="仿宋" w:cs="Times New Roman"/>
                <w:sz w:val="21"/>
                <w:szCs w:val="21"/>
              </w:rPr>
              <w:t>解说标识系统</w:t>
            </w:r>
          </w:p>
        </w:tc>
        <w:tc>
          <w:tcPr>
            <w:tcW w:w="1630" w:type="dxa"/>
            <w:vAlign w:val="center"/>
          </w:tcPr>
          <w:p>
            <w:pPr>
              <w:pStyle w:val="45"/>
              <w:rPr>
                <w:rFonts w:eastAsia="仿宋" w:cs="Times New Roman"/>
                <w:sz w:val="21"/>
                <w:szCs w:val="21"/>
              </w:rPr>
            </w:pPr>
            <w:r>
              <w:rPr>
                <w:rFonts w:hint="eastAsia" w:eastAsia="仿宋" w:cs="Times New Roman"/>
                <w:sz w:val="21"/>
                <w:szCs w:val="21"/>
              </w:rPr>
              <w:t>图文展示与播放系统</w:t>
            </w:r>
          </w:p>
        </w:tc>
        <w:tc>
          <w:tcPr>
            <w:tcW w:w="917" w:type="dxa"/>
            <w:vAlign w:val="center"/>
          </w:tcPr>
          <w:p>
            <w:pPr>
              <w:pStyle w:val="45"/>
              <w:rPr>
                <w:rFonts w:eastAsia="仿宋" w:cs="Times New Roman"/>
                <w:sz w:val="21"/>
                <w:szCs w:val="21"/>
              </w:rPr>
            </w:pPr>
            <w:r>
              <w:rPr>
                <w:rFonts w:hint="eastAsia" w:eastAsia="仿宋" w:cs="Times New Roman"/>
                <w:sz w:val="21"/>
                <w:szCs w:val="21"/>
              </w:rPr>
              <w:t>套</w:t>
            </w:r>
          </w:p>
        </w:tc>
        <w:tc>
          <w:tcPr>
            <w:tcW w:w="968" w:type="dxa"/>
            <w:vAlign w:val="center"/>
          </w:tcPr>
          <w:p>
            <w:pPr>
              <w:pStyle w:val="45"/>
              <w:rPr>
                <w:rFonts w:eastAsia="仿宋" w:cs="Times New Roman"/>
                <w:sz w:val="21"/>
                <w:szCs w:val="21"/>
              </w:rPr>
            </w:pPr>
            <w:r>
              <w:rPr>
                <w:rFonts w:eastAsia="仿宋" w:cs="Times New Roman"/>
                <w:sz w:val="21"/>
                <w:szCs w:val="21"/>
              </w:rPr>
              <w:t>1</w:t>
            </w:r>
          </w:p>
        </w:tc>
        <w:tc>
          <w:tcPr>
            <w:tcW w:w="1977" w:type="dxa"/>
            <w:vAlign w:val="center"/>
          </w:tcPr>
          <w:p>
            <w:pPr>
              <w:pStyle w:val="45"/>
              <w:rPr>
                <w:rFonts w:eastAsia="仿宋" w:cs="Times New Roman"/>
                <w:sz w:val="21"/>
                <w:szCs w:val="21"/>
              </w:rPr>
            </w:pPr>
          </w:p>
        </w:tc>
        <w:tc>
          <w:tcPr>
            <w:tcW w:w="777" w:type="dxa"/>
            <w:vAlign w:val="center"/>
          </w:tcPr>
          <w:p>
            <w:pPr>
              <w:pStyle w:val="45"/>
              <w:rPr>
                <w:rFonts w:eastAsia="仿宋" w:cs="Times New Roman"/>
                <w:sz w:val="21"/>
                <w:szCs w:val="21"/>
              </w:rPr>
            </w:pPr>
          </w:p>
        </w:tc>
        <w:tc>
          <w:tcPr>
            <w:tcW w:w="711"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0" w:type="dxa"/>
            <w:vMerge w:val="continue"/>
            <w:vAlign w:val="center"/>
          </w:tcPr>
          <w:p>
            <w:pPr>
              <w:pStyle w:val="45"/>
              <w:rPr>
                <w:rFonts w:eastAsia="仿宋" w:cs="Times New Roman"/>
                <w:sz w:val="21"/>
                <w:szCs w:val="21"/>
              </w:rPr>
            </w:pPr>
          </w:p>
        </w:tc>
        <w:tc>
          <w:tcPr>
            <w:tcW w:w="890" w:type="dxa"/>
            <w:vMerge w:val="continue"/>
            <w:vAlign w:val="center"/>
          </w:tcPr>
          <w:p>
            <w:pPr>
              <w:pStyle w:val="45"/>
              <w:rPr>
                <w:rFonts w:eastAsia="仿宋" w:cs="Times New Roman"/>
                <w:sz w:val="21"/>
                <w:szCs w:val="21"/>
              </w:rPr>
            </w:pPr>
          </w:p>
        </w:tc>
        <w:tc>
          <w:tcPr>
            <w:tcW w:w="1630" w:type="dxa"/>
            <w:vAlign w:val="center"/>
          </w:tcPr>
          <w:p>
            <w:pPr>
              <w:pStyle w:val="45"/>
              <w:rPr>
                <w:rFonts w:eastAsia="仿宋" w:cs="Times New Roman"/>
                <w:sz w:val="21"/>
                <w:szCs w:val="21"/>
              </w:rPr>
            </w:pPr>
            <w:r>
              <w:rPr>
                <w:rFonts w:hint="eastAsia" w:eastAsia="仿宋" w:cs="Times New Roman"/>
                <w:sz w:val="21"/>
                <w:szCs w:val="21"/>
              </w:rPr>
              <w:t>大型宣传标牌</w:t>
            </w:r>
          </w:p>
        </w:tc>
        <w:tc>
          <w:tcPr>
            <w:tcW w:w="917" w:type="dxa"/>
            <w:vAlign w:val="center"/>
          </w:tcPr>
          <w:p>
            <w:pPr>
              <w:pStyle w:val="45"/>
              <w:rPr>
                <w:rFonts w:eastAsia="仿宋" w:cs="Times New Roman"/>
                <w:sz w:val="21"/>
                <w:szCs w:val="21"/>
              </w:rPr>
            </w:pPr>
            <w:r>
              <w:rPr>
                <w:rFonts w:hint="eastAsia" w:eastAsia="仿宋" w:cs="Times New Roman"/>
                <w:sz w:val="21"/>
                <w:szCs w:val="21"/>
              </w:rPr>
              <w:t>块</w:t>
            </w:r>
          </w:p>
        </w:tc>
        <w:tc>
          <w:tcPr>
            <w:tcW w:w="968" w:type="dxa"/>
            <w:vAlign w:val="center"/>
          </w:tcPr>
          <w:p>
            <w:pPr>
              <w:pStyle w:val="45"/>
              <w:rPr>
                <w:rFonts w:eastAsia="仿宋" w:cs="Times New Roman"/>
                <w:sz w:val="21"/>
                <w:szCs w:val="21"/>
              </w:rPr>
            </w:pPr>
            <w:r>
              <w:rPr>
                <w:rFonts w:hint="eastAsia" w:eastAsia="仿宋" w:cs="Times New Roman"/>
                <w:sz w:val="21"/>
                <w:szCs w:val="21"/>
              </w:rPr>
              <w:t>8</w:t>
            </w:r>
          </w:p>
        </w:tc>
        <w:tc>
          <w:tcPr>
            <w:tcW w:w="1977" w:type="dxa"/>
            <w:vAlign w:val="center"/>
          </w:tcPr>
          <w:p>
            <w:pPr>
              <w:pStyle w:val="45"/>
              <w:rPr>
                <w:rFonts w:eastAsia="仿宋" w:cs="Times New Roman"/>
                <w:sz w:val="21"/>
                <w:szCs w:val="21"/>
              </w:rPr>
            </w:pPr>
            <w:r>
              <w:rPr>
                <w:rFonts w:hint="eastAsia" w:eastAsia="仿宋" w:cs="Times New Roman"/>
                <w:sz w:val="21"/>
                <w:szCs w:val="21"/>
              </w:rPr>
              <w:t>高速公路和湿地公园出入口</w:t>
            </w:r>
          </w:p>
        </w:tc>
        <w:tc>
          <w:tcPr>
            <w:tcW w:w="777" w:type="dxa"/>
            <w:vAlign w:val="center"/>
          </w:tcPr>
          <w:p>
            <w:pPr>
              <w:pStyle w:val="45"/>
              <w:rPr>
                <w:rFonts w:eastAsia="仿宋" w:cs="Times New Roman"/>
                <w:sz w:val="21"/>
                <w:szCs w:val="21"/>
              </w:rPr>
            </w:pPr>
          </w:p>
        </w:tc>
        <w:tc>
          <w:tcPr>
            <w:tcW w:w="711"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0" w:type="dxa"/>
            <w:vMerge w:val="continue"/>
            <w:vAlign w:val="center"/>
          </w:tcPr>
          <w:p>
            <w:pPr>
              <w:pStyle w:val="45"/>
              <w:rPr>
                <w:rFonts w:eastAsia="仿宋" w:cs="Times New Roman"/>
                <w:sz w:val="21"/>
                <w:szCs w:val="21"/>
              </w:rPr>
            </w:pPr>
          </w:p>
        </w:tc>
        <w:tc>
          <w:tcPr>
            <w:tcW w:w="890" w:type="dxa"/>
            <w:vMerge w:val="continue"/>
            <w:vAlign w:val="center"/>
          </w:tcPr>
          <w:p>
            <w:pPr>
              <w:pStyle w:val="45"/>
              <w:rPr>
                <w:rFonts w:eastAsia="仿宋" w:cs="Times New Roman"/>
                <w:sz w:val="21"/>
                <w:szCs w:val="21"/>
              </w:rPr>
            </w:pPr>
          </w:p>
        </w:tc>
        <w:tc>
          <w:tcPr>
            <w:tcW w:w="1630" w:type="dxa"/>
            <w:vAlign w:val="center"/>
          </w:tcPr>
          <w:p>
            <w:pPr>
              <w:pStyle w:val="45"/>
              <w:rPr>
                <w:rFonts w:eastAsia="仿宋" w:cs="Times New Roman"/>
                <w:sz w:val="21"/>
                <w:szCs w:val="21"/>
              </w:rPr>
            </w:pPr>
            <w:r>
              <w:rPr>
                <w:rFonts w:hint="eastAsia" w:eastAsia="仿宋" w:cs="Times New Roman"/>
                <w:sz w:val="21"/>
                <w:szCs w:val="21"/>
              </w:rPr>
              <w:t>宣传标牌</w:t>
            </w:r>
          </w:p>
        </w:tc>
        <w:tc>
          <w:tcPr>
            <w:tcW w:w="917" w:type="dxa"/>
            <w:vAlign w:val="center"/>
          </w:tcPr>
          <w:p>
            <w:pPr>
              <w:pStyle w:val="45"/>
              <w:rPr>
                <w:rFonts w:eastAsia="仿宋" w:cs="Times New Roman"/>
                <w:sz w:val="21"/>
                <w:szCs w:val="21"/>
              </w:rPr>
            </w:pPr>
            <w:r>
              <w:rPr>
                <w:rFonts w:hint="eastAsia" w:eastAsia="仿宋" w:cs="Times New Roman"/>
                <w:sz w:val="21"/>
                <w:szCs w:val="21"/>
              </w:rPr>
              <w:t>块</w:t>
            </w:r>
          </w:p>
        </w:tc>
        <w:tc>
          <w:tcPr>
            <w:tcW w:w="968" w:type="dxa"/>
            <w:vAlign w:val="center"/>
          </w:tcPr>
          <w:p>
            <w:pPr>
              <w:pStyle w:val="45"/>
              <w:rPr>
                <w:rFonts w:eastAsia="仿宋" w:cs="Times New Roman"/>
                <w:sz w:val="21"/>
                <w:szCs w:val="21"/>
              </w:rPr>
            </w:pPr>
            <w:r>
              <w:rPr>
                <w:rFonts w:hint="eastAsia" w:eastAsia="仿宋" w:cs="Times New Roman"/>
                <w:sz w:val="21"/>
                <w:szCs w:val="21"/>
              </w:rPr>
              <w:t>3</w:t>
            </w:r>
            <w:r>
              <w:rPr>
                <w:rFonts w:eastAsia="仿宋" w:cs="Times New Roman"/>
                <w:sz w:val="21"/>
                <w:szCs w:val="21"/>
              </w:rPr>
              <w:t>0</w:t>
            </w:r>
          </w:p>
        </w:tc>
        <w:tc>
          <w:tcPr>
            <w:tcW w:w="1977" w:type="dxa"/>
            <w:vAlign w:val="center"/>
          </w:tcPr>
          <w:p>
            <w:pPr>
              <w:pStyle w:val="45"/>
              <w:rPr>
                <w:rFonts w:eastAsia="仿宋" w:cs="Times New Roman"/>
                <w:sz w:val="21"/>
                <w:szCs w:val="21"/>
              </w:rPr>
            </w:pPr>
            <w:r>
              <w:rPr>
                <w:rFonts w:hint="eastAsia" w:eastAsia="仿宋" w:cs="Times New Roman"/>
                <w:sz w:val="21"/>
                <w:szCs w:val="21"/>
              </w:rPr>
              <w:t>各功能分区、重要景点、人口密集区及重要地段</w:t>
            </w:r>
          </w:p>
        </w:tc>
        <w:tc>
          <w:tcPr>
            <w:tcW w:w="777" w:type="dxa"/>
            <w:vAlign w:val="center"/>
          </w:tcPr>
          <w:p>
            <w:pPr>
              <w:pStyle w:val="45"/>
              <w:rPr>
                <w:rFonts w:eastAsia="仿宋" w:cs="Times New Roman"/>
                <w:sz w:val="21"/>
                <w:szCs w:val="21"/>
              </w:rPr>
            </w:pPr>
            <w:r>
              <w:rPr>
                <w:rFonts w:hint="eastAsia" w:eastAsia="仿宋" w:cs="Times New Roman"/>
                <w:sz w:val="21"/>
                <w:szCs w:val="21"/>
              </w:rPr>
              <w:t>√</w:t>
            </w:r>
          </w:p>
        </w:tc>
        <w:tc>
          <w:tcPr>
            <w:tcW w:w="711"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0" w:type="dxa"/>
            <w:vMerge w:val="continue"/>
            <w:vAlign w:val="center"/>
          </w:tcPr>
          <w:p>
            <w:pPr>
              <w:pStyle w:val="45"/>
              <w:rPr>
                <w:rFonts w:eastAsia="仿宋" w:cs="Times New Roman"/>
                <w:sz w:val="21"/>
                <w:szCs w:val="21"/>
              </w:rPr>
            </w:pPr>
          </w:p>
        </w:tc>
        <w:tc>
          <w:tcPr>
            <w:tcW w:w="890" w:type="dxa"/>
            <w:vMerge w:val="continue"/>
            <w:vAlign w:val="center"/>
          </w:tcPr>
          <w:p>
            <w:pPr>
              <w:pStyle w:val="45"/>
              <w:rPr>
                <w:rFonts w:eastAsia="仿宋" w:cs="Times New Roman"/>
                <w:sz w:val="21"/>
                <w:szCs w:val="21"/>
              </w:rPr>
            </w:pPr>
          </w:p>
        </w:tc>
        <w:tc>
          <w:tcPr>
            <w:tcW w:w="1630" w:type="dxa"/>
            <w:vAlign w:val="center"/>
          </w:tcPr>
          <w:p>
            <w:pPr>
              <w:pStyle w:val="45"/>
              <w:rPr>
                <w:rFonts w:eastAsia="仿宋" w:cs="Times New Roman"/>
                <w:sz w:val="21"/>
                <w:szCs w:val="21"/>
              </w:rPr>
            </w:pPr>
            <w:r>
              <w:rPr>
                <w:rFonts w:hint="eastAsia" w:eastAsia="仿宋" w:cs="Times New Roman"/>
                <w:sz w:val="21"/>
                <w:szCs w:val="21"/>
              </w:rPr>
              <w:t>指示牌</w:t>
            </w:r>
          </w:p>
        </w:tc>
        <w:tc>
          <w:tcPr>
            <w:tcW w:w="917" w:type="dxa"/>
            <w:vAlign w:val="center"/>
          </w:tcPr>
          <w:p>
            <w:pPr>
              <w:pStyle w:val="45"/>
              <w:rPr>
                <w:rFonts w:eastAsia="仿宋" w:cs="Times New Roman"/>
                <w:sz w:val="21"/>
                <w:szCs w:val="21"/>
              </w:rPr>
            </w:pPr>
            <w:r>
              <w:rPr>
                <w:rFonts w:hint="eastAsia" w:eastAsia="仿宋" w:cs="Times New Roman"/>
                <w:sz w:val="21"/>
                <w:szCs w:val="21"/>
              </w:rPr>
              <w:t>块</w:t>
            </w:r>
          </w:p>
        </w:tc>
        <w:tc>
          <w:tcPr>
            <w:tcW w:w="968" w:type="dxa"/>
            <w:vAlign w:val="center"/>
          </w:tcPr>
          <w:p>
            <w:pPr>
              <w:pStyle w:val="45"/>
              <w:rPr>
                <w:rFonts w:eastAsia="仿宋" w:cs="Times New Roman"/>
                <w:sz w:val="21"/>
                <w:szCs w:val="21"/>
              </w:rPr>
            </w:pPr>
            <w:r>
              <w:rPr>
                <w:rFonts w:hint="eastAsia" w:eastAsia="仿宋" w:cs="Times New Roman"/>
                <w:sz w:val="21"/>
                <w:szCs w:val="21"/>
              </w:rPr>
              <w:t>10</w:t>
            </w:r>
            <w:r>
              <w:rPr>
                <w:rFonts w:eastAsia="仿宋" w:cs="Times New Roman"/>
                <w:sz w:val="21"/>
                <w:szCs w:val="21"/>
              </w:rPr>
              <w:t>0</w:t>
            </w:r>
          </w:p>
        </w:tc>
        <w:tc>
          <w:tcPr>
            <w:tcW w:w="1977" w:type="dxa"/>
            <w:vAlign w:val="center"/>
          </w:tcPr>
          <w:p>
            <w:pPr>
              <w:pStyle w:val="45"/>
              <w:rPr>
                <w:rFonts w:eastAsia="仿宋" w:cs="Times New Roman"/>
                <w:sz w:val="21"/>
                <w:szCs w:val="21"/>
              </w:rPr>
            </w:pPr>
            <w:r>
              <w:rPr>
                <w:rFonts w:hint="eastAsia" w:eastAsia="仿宋" w:cs="Times New Roman"/>
                <w:sz w:val="21"/>
                <w:szCs w:val="21"/>
              </w:rPr>
              <w:t>湿地公园内交通要道和路口</w:t>
            </w:r>
          </w:p>
        </w:tc>
        <w:tc>
          <w:tcPr>
            <w:tcW w:w="777" w:type="dxa"/>
            <w:vAlign w:val="center"/>
          </w:tcPr>
          <w:p>
            <w:pPr>
              <w:pStyle w:val="45"/>
              <w:rPr>
                <w:rFonts w:eastAsia="仿宋" w:cs="Times New Roman"/>
                <w:sz w:val="21"/>
                <w:szCs w:val="21"/>
              </w:rPr>
            </w:pPr>
            <w:r>
              <w:rPr>
                <w:rFonts w:hint="eastAsia" w:eastAsia="仿宋" w:cs="Times New Roman"/>
                <w:sz w:val="21"/>
                <w:szCs w:val="21"/>
              </w:rPr>
              <w:t>√</w:t>
            </w:r>
          </w:p>
        </w:tc>
        <w:tc>
          <w:tcPr>
            <w:tcW w:w="711"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0" w:type="dxa"/>
            <w:vMerge w:val="continue"/>
            <w:vAlign w:val="center"/>
          </w:tcPr>
          <w:p>
            <w:pPr>
              <w:pStyle w:val="45"/>
              <w:rPr>
                <w:rFonts w:eastAsia="仿宋" w:cs="Times New Roman"/>
                <w:sz w:val="21"/>
                <w:szCs w:val="21"/>
              </w:rPr>
            </w:pPr>
          </w:p>
        </w:tc>
        <w:tc>
          <w:tcPr>
            <w:tcW w:w="890" w:type="dxa"/>
            <w:vMerge w:val="continue"/>
            <w:vAlign w:val="center"/>
          </w:tcPr>
          <w:p>
            <w:pPr>
              <w:pStyle w:val="45"/>
              <w:rPr>
                <w:rFonts w:eastAsia="仿宋" w:cs="Times New Roman"/>
                <w:sz w:val="21"/>
                <w:szCs w:val="21"/>
              </w:rPr>
            </w:pPr>
          </w:p>
        </w:tc>
        <w:tc>
          <w:tcPr>
            <w:tcW w:w="1630" w:type="dxa"/>
            <w:vAlign w:val="center"/>
          </w:tcPr>
          <w:p>
            <w:pPr>
              <w:pStyle w:val="45"/>
              <w:rPr>
                <w:rFonts w:eastAsia="仿宋" w:cs="Times New Roman"/>
                <w:sz w:val="21"/>
                <w:szCs w:val="21"/>
              </w:rPr>
            </w:pPr>
            <w:r>
              <w:rPr>
                <w:rFonts w:hint="eastAsia" w:eastAsia="仿宋" w:cs="Times New Roman"/>
                <w:sz w:val="21"/>
                <w:szCs w:val="21"/>
              </w:rPr>
              <w:t>警示牌</w:t>
            </w:r>
          </w:p>
        </w:tc>
        <w:tc>
          <w:tcPr>
            <w:tcW w:w="917" w:type="dxa"/>
            <w:vAlign w:val="center"/>
          </w:tcPr>
          <w:p>
            <w:pPr>
              <w:pStyle w:val="45"/>
              <w:rPr>
                <w:rFonts w:eastAsia="仿宋" w:cs="Times New Roman"/>
                <w:sz w:val="21"/>
                <w:szCs w:val="21"/>
              </w:rPr>
            </w:pPr>
            <w:r>
              <w:rPr>
                <w:rFonts w:hint="eastAsia" w:eastAsia="仿宋" w:cs="Times New Roman"/>
                <w:sz w:val="21"/>
                <w:szCs w:val="21"/>
              </w:rPr>
              <w:t>块</w:t>
            </w:r>
          </w:p>
        </w:tc>
        <w:tc>
          <w:tcPr>
            <w:tcW w:w="968" w:type="dxa"/>
            <w:vAlign w:val="center"/>
          </w:tcPr>
          <w:p>
            <w:pPr>
              <w:pStyle w:val="45"/>
              <w:rPr>
                <w:rFonts w:eastAsia="仿宋" w:cs="Times New Roman"/>
                <w:sz w:val="21"/>
                <w:szCs w:val="21"/>
              </w:rPr>
            </w:pPr>
            <w:r>
              <w:rPr>
                <w:rFonts w:eastAsia="仿宋" w:cs="Times New Roman"/>
                <w:sz w:val="21"/>
                <w:szCs w:val="21"/>
              </w:rPr>
              <w:t>20</w:t>
            </w:r>
            <w:r>
              <w:rPr>
                <w:rFonts w:hint="eastAsia" w:eastAsia="仿宋" w:cs="Times New Roman"/>
                <w:sz w:val="21"/>
                <w:szCs w:val="21"/>
              </w:rPr>
              <w:t>0</w:t>
            </w:r>
          </w:p>
        </w:tc>
        <w:tc>
          <w:tcPr>
            <w:tcW w:w="1977" w:type="dxa"/>
            <w:vAlign w:val="center"/>
          </w:tcPr>
          <w:p>
            <w:pPr>
              <w:pStyle w:val="45"/>
              <w:rPr>
                <w:rFonts w:eastAsia="仿宋" w:cs="Times New Roman"/>
                <w:sz w:val="21"/>
                <w:szCs w:val="21"/>
              </w:rPr>
            </w:pPr>
            <w:r>
              <w:rPr>
                <w:rFonts w:hint="eastAsia" w:eastAsia="仿宋" w:cs="Times New Roman"/>
                <w:sz w:val="21"/>
                <w:szCs w:val="21"/>
              </w:rPr>
              <w:t>危险地段</w:t>
            </w:r>
          </w:p>
        </w:tc>
        <w:tc>
          <w:tcPr>
            <w:tcW w:w="777" w:type="dxa"/>
            <w:vAlign w:val="center"/>
          </w:tcPr>
          <w:p>
            <w:pPr>
              <w:pStyle w:val="45"/>
              <w:rPr>
                <w:rFonts w:eastAsia="仿宋" w:cs="Times New Roman"/>
                <w:sz w:val="21"/>
                <w:szCs w:val="21"/>
              </w:rPr>
            </w:pPr>
            <w:r>
              <w:rPr>
                <w:rFonts w:hint="eastAsia" w:eastAsia="仿宋" w:cs="Times New Roman"/>
                <w:sz w:val="21"/>
                <w:szCs w:val="21"/>
              </w:rPr>
              <w:t>√</w:t>
            </w:r>
          </w:p>
        </w:tc>
        <w:tc>
          <w:tcPr>
            <w:tcW w:w="711"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0" w:type="dxa"/>
            <w:vMerge w:val="continue"/>
            <w:vAlign w:val="center"/>
          </w:tcPr>
          <w:p>
            <w:pPr>
              <w:pStyle w:val="45"/>
              <w:rPr>
                <w:rFonts w:eastAsia="仿宋" w:cs="Times New Roman"/>
                <w:sz w:val="21"/>
                <w:szCs w:val="21"/>
              </w:rPr>
            </w:pPr>
          </w:p>
        </w:tc>
        <w:tc>
          <w:tcPr>
            <w:tcW w:w="890" w:type="dxa"/>
            <w:vMerge w:val="continue"/>
            <w:vAlign w:val="center"/>
          </w:tcPr>
          <w:p>
            <w:pPr>
              <w:pStyle w:val="45"/>
              <w:rPr>
                <w:rFonts w:eastAsia="仿宋" w:cs="Times New Roman"/>
                <w:sz w:val="21"/>
                <w:szCs w:val="21"/>
              </w:rPr>
            </w:pPr>
          </w:p>
        </w:tc>
        <w:tc>
          <w:tcPr>
            <w:tcW w:w="1630" w:type="dxa"/>
            <w:vAlign w:val="center"/>
          </w:tcPr>
          <w:p>
            <w:pPr>
              <w:pStyle w:val="45"/>
              <w:rPr>
                <w:rFonts w:eastAsia="仿宋" w:cs="Times New Roman"/>
                <w:sz w:val="21"/>
                <w:szCs w:val="21"/>
              </w:rPr>
            </w:pPr>
            <w:r>
              <w:rPr>
                <w:rFonts w:hint="eastAsia" w:eastAsia="仿宋" w:cs="Times New Roman"/>
                <w:sz w:val="21"/>
                <w:szCs w:val="21"/>
              </w:rPr>
              <w:t>动植物物种识别标牌</w:t>
            </w:r>
          </w:p>
        </w:tc>
        <w:tc>
          <w:tcPr>
            <w:tcW w:w="917" w:type="dxa"/>
            <w:vAlign w:val="center"/>
          </w:tcPr>
          <w:p>
            <w:pPr>
              <w:pStyle w:val="45"/>
              <w:rPr>
                <w:rFonts w:eastAsia="仿宋" w:cs="Times New Roman"/>
                <w:sz w:val="21"/>
                <w:szCs w:val="21"/>
              </w:rPr>
            </w:pPr>
            <w:r>
              <w:rPr>
                <w:rFonts w:hint="eastAsia" w:eastAsia="仿宋" w:cs="Times New Roman"/>
                <w:sz w:val="21"/>
                <w:szCs w:val="21"/>
              </w:rPr>
              <w:t>块</w:t>
            </w:r>
          </w:p>
        </w:tc>
        <w:tc>
          <w:tcPr>
            <w:tcW w:w="968" w:type="dxa"/>
            <w:vAlign w:val="center"/>
          </w:tcPr>
          <w:p>
            <w:pPr>
              <w:pStyle w:val="45"/>
              <w:rPr>
                <w:rFonts w:eastAsia="仿宋" w:cs="Times New Roman"/>
                <w:sz w:val="21"/>
                <w:szCs w:val="21"/>
              </w:rPr>
            </w:pPr>
            <w:r>
              <w:rPr>
                <w:rFonts w:hint="eastAsia" w:eastAsia="仿宋" w:cs="Times New Roman"/>
                <w:sz w:val="21"/>
                <w:szCs w:val="21"/>
              </w:rPr>
              <w:t>20</w:t>
            </w:r>
            <w:r>
              <w:rPr>
                <w:rFonts w:eastAsia="仿宋" w:cs="Times New Roman"/>
                <w:sz w:val="21"/>
                <w:szCs w:val="21"/>
              </w:rPr>
              <w:t>00</w:t>
            </w:r>
          </w:p>
        </w:tc>
        <w:tc>
          <w:tcPr>
            <w:tcW w:w="1977" w:type="dxa"/>
            <w:vAlign w:val="center"/>
          </w:tcPr>
          <w:p>
            <w:pPr>
              <w:pStyle w:val="45"/>
              <w:rPr>
                <w:rFonts w:eastAsia="仿宋" w:cs="Times New Roman"/>
                <w:sz w:val="21"/>
                <w:szCs w:val="21"/>
              </w:rPr>
            </w:pPr>
            <w:r>
              <w:rPr>
                <w:rFonts w:hint="eastAsia" w:eastAsia="仿宋" w:cs="Times New Roman"/>
                <w:sz w:val="21"/>
                <w:szCs w:val="21"/>
              </w:rPr>
              <w:t>含湿地生态植物园800块</w:t>
            </w:r>
          </w:p>
        </w:tc>
        <w:tc>
          <w:tcPr>
            <w:tcW w:w="777" w:type="dxa"/>
            <w:vAlign w:val="center"/>
          </w:tcPr>
          <w:p>
            <w:pPr>
              <w:pStyle w:val="45"/>
              <w:rPr>
                <w:rFonts w:eastAsia="仿宋" w:cs="Times New Roman"/>
                <w:sz w:val="21"/>
                <w:szCs w:val="21"/>
              </w:rPr>
            </w:pPr>
          </w:p>
        </w:tc>
        <w:tc>
          <w:tcPr>
            <w:tcW w:w="711"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0" w:type="dxa"/>
            <w:vMerge w:val="continue"/>
            <w:vAlign w:val="center"/>
          </w:tcPr>
          <w:p>
            <w:pPr>
              <w:pStyle w:val="45"/>
              <w:rPr>
                <w:rFonts w:eastAsia="仿宋" w:cs="Times New Roman"/>
                <w:sz w:val="21"/>
                <w:szCs w:val="21"/>
              </w:rPr>
            </w:pPr>
          </w:p>
        </w:tc>
        <w:tc>
          <w:tcPr>
            <w:tcW w:w="890" w:type="dxa"/>
            <w:vMerge w:val="continue"/>
            <w:vAlign w:val="center"/>
          </w:tcPr>
          <w:p>
            <w:pPr>
              <w:pStyle w:val="45"/>
              <w:rPr>
                <w:rFonts w:eastAsia="仿宋" w:cs="Times New Roman"/>
                <w:sz w:val="21"/>
                <w:szCs w:val="21"/>
              </w:rPr>
            </w:pPr>
          </w:p>
        </w:tc>
        <w:tc>
          <w:tcPr>
            <w:tcW w:w="1630" w:type="dxa"/>
            <w:vAlign w:val="center"/>
          </w:tcPr>
          <w:p>
            <w:pPr>
              <w:pStyle w:val="45"/>
              <w:rPr>
                <w:rFonts w:eastAsia="仿宋" w:cs="Times New Roman"/>
                <w:sz w:val="21"/>
                <w:szCs w:val="21"/>
              </w:rPr>
            </w:pPr>
            <w:r>
              <w:rPr>
                <w:rFonts w:hint="eastAsia" w:eastAsia="仿宋" w:cs="Times New Roman"/>
                <w:sz w:val="21"/>
                <w:szCs w:val="21"/>
              </w:rPr>
              <w:t>宣传册</w:t>
            </w:r>
          </w:p>
        </w:tc>
        <w:tc>
          <w:tcPr>
            <w:tcW w:w="917" w:type="dxa"/>
            <w:vAlign w:val="center"/>
          </w:tcPr>
          <w:p>
            <w:pPr>
              <w:pStyle w:val="45"/>
              <w:rPr>
                <w:rFonts w:eastAsia="仿宋" w:cs="Times New Roman"/>
                <w:sz w:val="21"/>
                <w:szCs w:val="21"/>
              </w:rPr>
            </w:pPr>
            <w:r>
              <w:rPr>
                <w:rFonts w:hint="eastAsia" w:eastAsia="仿宋" w:cs="Times New Roman"/>
                <w:sz w:val="21"/>
                <w:szCs w:val="21"/>
              </w:rPr>
              <w:t>万册</w:t>
            </w:r>
          </w:p>
        </w:tc>
        <w:tc>
          <w:tcPr>
            <w:tcW w:w="968" w:type="dxa"/>
            <w:vAlign w:val="center"/>
          </w:tcPr>
          <w:p>
            <w:pPr>
              <w:pStyle w:val="45"/>
              <w:rPr>
                <w:rFonts w:eastAsia="仿宋" w:cs="Times New Roman"/>
                <w:sz w:val="21"/>
                <w:szCs w:val="21"/>
              </w:rPr>
            </w:pPr>
            <w:r>
              <w:rPr>
                <w:rFonts w:eastAsia="仿宋" w:cs="Times New Roman"/>
                <w:sz w:val="21"/>
                <w:szCs w:val="21"/>
              </w:rPr>
              <w:t>10</w:t>
            </w:r>
          </w:p>
        </w:tc>
        <w:tc>
          <w:tcPr>
            <w:tcW w:w="1977" w:type="dxa"/>
            <w:vAlign w:val="center"/>
          </w:tcPr>
          <w:p>
            <w:pPr>
              <w:pStyle w:val="45"/>
              <w:rPr>
                <w:rFonts w:eastAsia="仿宋" w:cs="Times New Roman"/>
                <w:sz w:val="21"/>
                <w:szCs w:val="21"/>
              </w:rPr>
            </w:pPr>
          </w:p>
        </w:tc>
        <w:tc>
          <w:tcPr>
            <w:tcW w:w="777" w:type="dxa"/>
            <w:vAlign w:val="center"/>
          </w:tcPr>
          <w:p>
            <w:pPr>
              <w:pStyle w:val="45"/>
              <w:rPr>
                <w:rFonts w:eastAsia="仿宋" w:cs="Times New Roman"/>
                <w:sz w:val="21"/>
                <w:szCs w:val="21"/>
              </w:rPr>
            </w:pPr>
            <w:r>
              <w:rPr>
                <w:rFonts w:hint="eastAsia" w:eastAsia="仿宋" w:cs="Times New Roman"/>
                <w:sz w:val="21"/>
                <w:szCs w:val="21"/>
              </w:rPr>
              <w:t>√</w:t>
            </w:r>
          </w:p>
        </w:tc>
        <w:tc>
          <w:tcPr>
            <w:tcW w:w="711"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0" w:type="dxa"/>
            <w:vMerge w:val="continue"/>
            <w:vAlign w:val="center"/>
          </w:tcPr>
          <w:p>
            <w:pPr>
              <w:pStyle w:val="45"/>
              <w:rPr>
                <w:rFonts w:eastAsia="仿宋" w:cs="Times New Roman"/>
                <w:sz w:val="21"/>
                <w:szCs w:val="21"/>
              </w:rPr>
            </w:pPr>
          </w:p>
        </w:tc>
        <w:tc>
          <w:tcPr>
            <w:tcW w:w="890" w:type="dxa"/>
            <w:vMerge w:val="continue"/>
            <w:vAlign w:val="center"/>
          </w:tcPr>
          <w:p>
            <w:pPr>
              <w:pStyle w:val="45"/>
              <w:rPr>
                <w:rFonts w:eastAsia="仿宋" w:cs="Times New Roman"/>
                <w:sz w:val="21"/>
                <w:szCs w:val="21"/>
              </w:rPr>
            </w:pPr>
          </w:p>
        </w:tc>
        <w:tc>
          <w:tcPr>
            <w:tcW w:w="1630" w:type="dxa"/>
            <w:vAlign w:val="center"/>
          </w:tcPr>
          <w:p>
            <w:pPr>
              <w:pStyle w:val="45"/>
              <w:rPr>
                <w:rFonts w:eastAsia="仿宋" w:cs="Times New Roman"/>
                <w:sz w:val="21"/>
                <w:szCs w:val="21"/>
              </w:rPr>
            </w:pPr>
            <w:r>
              <w:rPr>
                <w:rFonts w:hint="eastAsia" w:eastAsia="仿宋" w:cs="Times New Roman"/>
                <w:sz w:val="21"/>
                <w:szCs w:val="21"/>
              </w:rPr>
              <w:t>导游图及导游解说体系</w:t>
            </w:r>
          </w:p>
        </w:tc>
        <w:tc>
          <w:tcPr>
            <w:tcW w:w="917" w:type="dxa"/>
            <w:vAlign w:val="center"/>
          </w:tcPr>
          <w:p>
            <w:pPr>
              <w:pStyle w:val="45"/>
              <w:rPr>
                <w:rFonts w:eastAsia="仿宋" w:cs="Times New Roman"/>
                <w:sz w:val="21"/>
                <w:szCs w:val="21"/>
              </w:rPr>
            </w:pPr>
            <w:r>
              <w:rPr>
                <w:rFonts w:hint="eastAsia" w:eastAsia="仿宋" w:cs="Times New Roman"/>
                <w:sz w:val="21"/>
                <w:szCs w:val="21"/>
              </w:rPr>
              <w:t>套</w:t>
            </w:r>
          </w:p>
        </w:tc>
        <w:tc>
          <w:tcPr>
            <w:tcW w:w="968" w:type="dxa"/>
            <w:vAlign w:val="center"/>
          </w:tcPr>
          <w:p>
            <w:pPr>
              <w:pStyle w:val="45"/>
              <w:rPr>
                <w:rFonts w:eastAsia="仿宋" w:cs="Times New Roman"/>
                <w:sz w:val="21"/>
                <w:szCs w:val="21"/>
              </w:rPr>
            </w:pPr>
            <w:r>
              <w:rPr>
                <w:rFonts w:eastAsia="仿宋" w:cs="Times New Roman"/>
                <w:sz w:val="21"/>
                <w:szCs w:val="21"/>
              </w:rPr>
              <w:t>1</w:t>
            </w:r>
          </w:p>
        </w:tc>
        <w:tc>
          <w:tcPr>
            <w:tcW w:w="1977" w:type="dxa"/>
            <w:vAlign w:val="center"/>
          </w:tcPr>
          <w:p>
            <w:pPr>
              <w:pStyle w:val="45"/>
              <w:rPr>
                <w:rFonts w:eastAsia="仿宋" w:cs="Times New Roman"/>
                <w:sz w:val="21"/>
                <w:szCs w:val="21"/>
              </w:rPr>
            </w:pPr>
          </w:p>
        </w:tc>
        <w:tc>
          <w:tcPr>
            <w:tcW w:w="777" w:type="dxa"/>
            <w:vAlign w:val="center"/>
          </w:tcPr>
          <w:p>
            <w:pPr>
              <w:pStyle w:val="45"/>
              <w:rPr>
                <w:rFonts w:eastAsia="仿宋" w:cs="Times New Roman"/>
                <w:sz w:val="21"/>
                <w:szCs w:val="21"/>
              </w:rPr>
            </w:pPr>
            <w:r>
              <w:rPr>
                <w:rFonts w:hint="eastAsia" w:eastAsia="仿宋" w:cs="Times New Roman"/>
                <w:sz w:val="21"/>
                <w:szCs w:val="21"/>
              </w:rPr>
              <w:t>√</w:t>
            </w:r>
          </w:p>
        </w:tc>
        <w:tc>
          <w:tcPr>
            <w:tcW w:w="711" w:type="dxa"/>
            <w:vAlign w:val="center"/>
          </w:tcPr>
          <w:p>
            <w:pPr>
              <w:pStyle w:val="45"/>
              <w:rPr>
                <w:rFonts w:eastAsia="仿宋" w:cs="Times New Roman"/>
                <w:sz w:val="21"/>
                <w:szCs w:val="21"/>
              </w:rPr>
            </w:pPr>
          </w:p>
        </w:tc>
      </w:tr>
    </w:tbl>
    <w:p>
      <w:pPr>
        <w:ind w:firstLine="560"/>
      </w:pPr>
    </w:p>
    <w:p>
      <w:pPr>
        <w:pStyle w:val="4"/>
        <w:numPr>
          <w:ilvl w:val="0"/>
          <w:numId w:val="59"/>
        </w:numPr>
        <w:spacing w:after="395"/>
        <w:ind w:left="0" w:firstLine="0"/>
      </w:pPr>
      <w:bookmarkStart w:id="400" w:name="_Toc113925800"/>
      <w:bookmarkStart w:id="401" w:name="_Toc114084662"/>
      <w:bookmarkStart w:id="402" w:name="_Toc28310"/>
      <w:bookmarkStart w:id="403" w:name="_Toc23887"/>
      <w:bookmarkStart w:id="404" w:name="_Toc113925548"/>
      <w:bookmarkStart w:id="405" w:name="_Toc117114390"/>
      <w:r>
        <w:rPr>
          <w:rFonts w:hint="eastAsia"/>
        </w:rPr>
        <w:t>科研监测规划</w:t>
      </w:r>
      <w:bookmarkEnd w:id="400"/>
      <w:bookmarkEnd w:id="401"/>
      <w:bookmarkEnd w:id="402"/>
      <w:bookmarkEnd w:id="403"/>
      <w:bookmarkEnd w:id="404"/>
      <w:bookmarkEnd w:id="405"/>
    </w:p>
    <w:p>
      <w:pPr>
        <w:pStyle w:val="5"/>
        <w:numPr>
          <w:ilvl w:val="1"/>
          <w:numId w:val="59"/>
        </w:numPr>
        <w:spacing w:before="197"/>
      </w:pPr>
      <w:bookmarkStart w:id="406" w:name="_Toc113925801"/>
      <w:bookmarkStart w:id="407" w:name="_Toc117114391"/>
      <w:bookmarkStart w:id="408" w:name="_Toc14297"/>
      <w:bookmarkStart w:id="409" w:name="_Toc114084663"/>
      <w:bookmarkStart w:id="410" w:name="_Toc25047"/>
      <w:bookmarkStart w:id="411" w:name="_Toc113925549"/>
      <w:r>
        <w:rPr>
          <w:rFonts w:hint="eastAsia"/>
        </w:rPr>
        <w:t>规划原则与目标</w:t>
      </w:r>
      <w:bookmarkEnd w:id="406"/>
      <w:bookmarkEnd w:id="407"/>
      <w:bookmarkEnd w:id="408"/>
      <w:bookmarkEnd w:id="409"/>
      <w:bookmarkEnd w:id="410"/>
      <w:bookmarkEnd w:id="411"/>
    </w:p>
    <w:p>
      <w:pPr>
        <w:pStyle w:val="6"/>
        <w:numPr>
          <w:ilvl w:val="2"/>
          <w:numId w:val="59"/>
        </w:numPr>
      </w:pPr>
      <w:bookmarkStart w:id="412" w:name="_Toc113925550"/>
      <w:bookmarkStart w:id="413" w:name="_Toc113925802"/>
      <w:r>
        <w:rPr>
          <w:rFonts w:hint="eastAsia"/>
        </w:rPr>
        <w:t>规划原则</w:t>
      </w:r>
      <w:bookmarkEnd w:id="412"/>
      <w:bookmarkEnd w:id="413"/>
    </w:p>
    <w:p>
      <w:pPr>
        <w:ind w:firstLine="560"/>
        <w:rPr>
          <w:rFonts w:cs="Times New Roman"/>
        </w:rPr>
      </w:pPr>
      <w:r>
        <w:rPr>
          <w:rFonts w:hint="eastAsia" w:cs="Times New Roman"/>
        </w:rPr>
        <w:t>（1）坚持合理性的原则</w:t>
      </w:r>
    </w:p>
    <w:p>
      <w:pPr>
        <w:ind w:firstLine="560"/>
        <w:rPr>
          <w:rFonts w:cs="Times New Roman"/>
        </w:rPr>
      </w:pPr>
      <w:r>
        <w:rPr>
          <w:rFonts w:hint="eastAsia" w:cs="Times New Roman"/>
        </w:rPr>
        <w:t>根据湿地公园的特点，合理设置科研和监测设施，购买适宜监测设备，以期达到监测和研究的效果。</w:t>
      </w:r>
    </w:p>
    <w:p>
      <w:pPr>
        <w:ind w:firstLine="560"/>
        <w:rPr>
          <w:rFonts w:cs="Times New Roman"/>
        </w:rPr>
      </w:pPr>
      <w:r>
        <w:rPr>
          <w:rFonts w:hint="eastAsia" w:cs="Times New Roman"/>
        </w:rPr>
        <w:t>（2）坚持针对性的原则</w:t>
      </w:r>
    </w:p>
    <w:p>
      <w:pPr>
        <w:ind w:firstLine="560"/>
        <w:rPr>
          <w:rFonts w:cs="Times New Roman"/>
        </w:rPr>
      </w:pPr>
      <w:r>
        <w:rPr>
          <w:rFonts w:hint="eastAsia" w:cs="Times New Roman"/>
        </w:rPr>
        <w:t>选择具有本区域典型特征或有代表性的自然资源与自然环境，特别是珍稀、濒危动植物和外来物种，开展科研监测，将具有重要意义的课题有针对性的作为科研监测的重点，使有限的科研能力发挥最大的效能。</w:t>
      </w:r>
    </w:p>
    <w:p>
      <w:pPr>
        <w:ind w:firstLine="560"/>
        <w:rPr>
          <w:rFonts w:cs="Times New Roman"/>
        </w:rPr>
      </w:pPr>
      <w:r>
        <w:rPr>
          <w:rFonts w:hint="eastAsia" w:cs="Times New Roman"/>
        </w:rPr>
        <w:t>（3）坚持可行性的原则</w:t>
      </w:r>
    </w:p>
    <w:p>
      <w:pPr>
        <w:ind w:firstLine="560"/>
        <w:rPr>
          <w:rFonts w:cs="Times New Roman"/>
        </w:rPr>
      </w:pPr>
      <w:r>
        <w:rPr>
          <w:rFonts w:hint="eastAsia" w:cs="Times New Roman"/>
        </w:rPr>
        <w:t>根据自身能力结合湿地公园保护与发展的实际需要开展相关监测，并具有可行性和适应性。</w:t>
      </w:r>
    </w:p>
    <w:p>
      <w:pPr>
        <w:ind w:firstLine="560"/>
        <w:rPr>
          <w:rFonts w:cs="Times New Roman"/>
        </w:rPr>
      </w:pPr>
      <w:r>
        <w:rPr>
          <w:rFonts w:hint="eastAsia" w:cs="Times New Roman"/>
        </w:rPr>
        <w:t>（4）坚持开放性的原则</w:t>
      </w:r>
    </w:p>
    <w:p>
      <w:pPr>
        <w:ind w:firstLine="560"/>
        <w:rPr>
          <w:rFonts w:cs="Times New Roman"/>
        </w:rPr>
      </w:pPr>
      <w:r>
        <w:rPr>
          <w:rFonts w:hint="eastAsia" w:cs="Times New Roman"/>
        </w:rPr>
        <w:t>除依靠湿地公园本身的科研人员外，还应加强对外交流联系，组织、借助国内外科研单位、大专院校及其它有关部门的科研力量，开展科研项目攻关合作，逐步锻炼培养湿地公园的科技队伍，提高自身科研水平。</w:t>
      </w:r>
    </w:p>
    <w:p>
      <w:pPr>
        <w:ind w:firstLine="560"/>
        <w:rPr>
          <w:rFonts w:cs="Times New Roman"/>
        </w:rPr>
      </w:pPr>
      <w:r>
        <w:rPr>
          <w:rFonts w:hint="eastAsia" w:cs="Times New Roman"/>
        </w:rPr>
        <w:t>（5）坚持长期性的原则</w:t>
      </w:r>
    </w:p>
    <w:p>
      <w:pPr>
        <w:ind w:firstLine="560"/>
        <w:rPr>
          <w:rFonts w:cs="Times New Roman"/>
        </w:rPr>
      </w:pPr>
      <w:r>
        <w:rPr>
          <w:rFonts w:hint="eastAsia" w:cs="Times New Roman"/>
        </w:rPr>
        <w:t>监测工作是长期积累的过程，坚持长期开展监测和科研基础研究，利于掌握湿地及动植物的变化规律和趋势，合理制定管理计划。</w:t>
      </w:r>
    </w:p>
    <w:p>
      <w:pPr>
        <w:pStyle w:val="6"/>
        <w:numPr>
          <w:ilvl w:val="2"/>
          <w:numId w:val="59"/>
        </w:numPr>
      </w:pPr>
      <w:bookmarkStart w:id="414" w:name="_Toc113925551"/>
      <w:bookmarkStart w:id="415" w:name="_Toc113925803"/>
      <w:r>
        <w:rPr>
          <w:rFonts w:hint="eastAsia"/>
        </w:rPr>
        <w:t>现状</w:t>
      </w:r>
      <w:bookmarkEnd w:id="414"/>
      <w:bookmarkEnd w:id="415"/>
    </w:p>
    <w:p>
      <w:pPr>
        <w:ind w:firstLine="560"/>
        <w:rPr>
          <w:rFonts w:cs="Times New Roman"/>
        </w:rPr>
      </w:pPr>
      <w:r>
        <w:rPr>
          <w:rFonts w:hint="eastAsia" w:cs="Times New Roman"/>
        </w:rPr>
        <w:t>为全面掌握湿地公园的湿地资源和生态环境变化的详细情况，积累基础监测数据，了解湿地公园的保护现状和受威胁情况，深入研究湿地生态系统的保护、恢复、修复和可持续利用，试点建设以来，县委、县政府统筹布局，科学规划，全面开展各项湿地科研与监测工作，为湿地公园未来的科研与监测工作打下了坚实基础。</w:t>
      </w:r>
    </w:p>
    <w:p>
      <w:pPr>
        <w:ind w:firstLine="560"/>
        <w:rPr>
          <w:rFonts w:cs="Times New Roman"/>
        </w:rPr>
      </w:pPr>
      <w:r>
        <w:rPr>
          <w:rFonts w:hint="eastAsia" w:cs="Times New Roman"/>
        </w:rPr>
        <w:t>（1）开展科研监测合作</w:t>
      </w:r>
    </w:p>
    <w:p>
      <w:pPr>
        <w:ind w:firstLine="560"/>
        <w:rPr>
          <w:rFonts w:cs="Times New Roman"/>
        </w:rPr>
      </w:pPr>
      <w:r>
        <w:rPr>
          <w:rFonts w:hint="eastAsia" w:cs="Times New Roman"/>
        </w:rPr>
        <w:t>湿地公园管理处与中国科学院亚热带农业生态研究所、湖南省林科院、湖南省林勘院合作开展了包括本底资源调查、人工湿地污水处理示范项目、水禽栖息地生态修复和植被重建示范项目多项科学研究工作，形成了《湖南石门仙阳湖国家湿地公园科学考察报告》等成果。同时还开展了湖南石门仙阳湖国家湿地公园基本生态功能研究、湖南石门仙阳湖国家湿地公园不同生境鸟类特征研究等多项研究。</w:t>
      </w:r>
    </w:p>
    <w:p>
      <w:pPr>
        <w:ind w:firstLine="560"/>
        <w:rPr>
          <w:rFonts w:cs="Times New Roman"/>
        </w:rPr>
      </w:pPr>
      <w:r>
        <w:rPr>
          <w:rFonts w:hint="eastAsia" w:cs="Times New Roman"/>
        </w:rPr>
        <w:t>（2）构建科学工作体系</w:t>
      </w:r>
    </w:p>
    <w:p>
      <w:pPr>
        <w:ind w:firstLine="560"/>
        <w:rPr>
          <w:rFonts w:cs="Times New Roman"/>
        </w:rPr>
      </w:pPr>
      <w:r>
        <w:rPr>
          <w:rFonts w:hint="eastAsia" w:cs="Times New Roman"/>
        </w:rPr>
        <w:t>明确各部门单位的监测职责和任务；确定人员、保障经费，确保工作按质按量完成；开展了本底调查，有较完备的技术档案，求真务实开展各项工作，定期分析总结。由气象部门监测公园范围内的天气情况，由环保部门监测公园的水质和大气环境，由水利部门监测公园的水位、径流量等情况，所有数据每个月报送一次，形成了齐抓共管的格局。</w:t>
      </w:r>
    </w:p>
    <w:p>
      <w:pPr>
        <w:ind w:firstLine="560"/>
        <w:rPr>
          <w:rFonts w:cs="Times New Roman"/>
        </w:rPr>
      </w:pPr>
      <w:r>
        <w:rPr>
          <w:rFonts w:hint="eastAsia" w:cs="Times New Roman"/>
        </w:rPr>
        <w:t>（3）完善科研监测条件</w:t>
      </w:r>
    </w:p>
    <w:p>
      <w:pPr>
        <w:ind w:firstLine="560"/>
        <w:rPr>
          <w:rFonts w:cs="Times New Roman"/>
        </w:rPr>
      </w:pPr>
      <w:r>
        <w:rPr>
          <w:rFonts w:hint="eastAsia" w:cs="Times New Roman"/>
        </w:rPr>
        <w:t xml:space="preserve">添置了1辆巡护监测车及2艘监测巡护船，购置望远镜、数码相机、观鸟单筒镜、4套监控等一批生态环保监测设备；建成了120平方米的鸟类监测站，采购并安装100寸的大型电子显示屏，并配备了科研监测、鸟类监控设备器材一套。 </w:t>
      </w:r>
    </w:p>
    <w:p>
      <w:pPr>
        <w:ind w:firstLine="560"/>
        <w:rPr>
          <w:rFonts w:cs="Times New Roman"/>
        </w:rPr>
      </w:pPr>
      <w:r>
        <w:rPr>
          <w:rFonts w:hint="eastAsia" w:cs="Times New Roman"/>
        </w:rPr>
        <w:t>建立了技术档案室，收集整理归类存档，监测水平上台阶。与此同时，加强部门合作，县水利、环保在湿地公园设置专门的工作中队，做到互联互通、共建共享。</w:t>
      </w:r>
    </w:p>
    <w:p>
      <w:pPr>
        <w:pStyle w:val="6"/>
        <w:numPr>
          <w:ilvl w:val="2"/>
          <w:numId w:val="59"/>
        </w:numPr>
      </w:pPr>
      <w:bookmarkStart w:id="416" w:name="_Toc113925552"/>
      <w:bookmarkStart w:id="417" w:name="_Toc113925804"/>
      <w:r>
        <w:rPr>
          <w:rFonts w:hint="eastAsia"/>
        </w:rPr>
        <w:t>规划目标</w:t>
      </w:r>
      <w:bookmarkEnd w:id="416"/>
      <w:bookmarkEnd w:id="417"/>
    </w:p>
    <w:p>
      <w:pPr>
        <w:ind w:firstLine="560"/>
        <w:rPr>
          <w:rFonts w:cs="Times New Roman"/>
        </w:rPr>
      </w:pPr>
      <w:r>
        <w:rPr>
          <w:rFonts w:hint="eastAsia" w:cs="Times New Roman"/>
        </w:rPr>
        <w:t xml:space="preserve">通过科研与监测，进一步摸清湿地公园的资源状况、保护对象所处的环境条件、保护对象的特点和固有的规律，探索保护对象受威胁的状况与原因，寻求有效的保护措施，以实现湿地公园内保护对象的种群数量、质量恢复与发展；建立一个较为完备的科研监测体系，摸清本底资源及其动态发展规律，培养一批具有基础科研能力的人才队伍，完成湿地保护与管理的重点课题；为资源合理利用与适度利用提供科学依据，实现湿地公园的可持续发展。 </w:t>
      </w:r>
    </w:p>
    <w:p>
      <w:pPr>
        <w:pStyle w:val="6"/>
        <w:numPr>
          <w:ilvl w:val="2"/>
          <w:numId w:val="59"/>
        </w:numPr>
      </w:pPr>
      <w:bookmarkStart w:id="418" w:name="_Toc113925805"/>
      <w:bookmarkStart w:id="419" w:name="_Toc113925553"/>
      <w:r>
        <w:rPr>
          <w:rFonts w:hint="eastAsia"/>
        </w:rPr>
        <w:t>基本思路和方法</w:t>
      </w:r>
      <w:bookmarkEnd w:id="418"/>
      <w:bookmarkEnd w:id="419"/>
    </w:p>
    <w:p>
      <w:pPr>
        <w:ind w:firstLine="560"/>
        <w:rPr>
          <w:rFonts w:cs="Times New Roman"/>
        </w:rPr>
      </w:pPr>
      <w:r>
        <w:rPr>
          <w:rFonts w:hint="eastAsia" w:cs="Times New Roman"/>
        </w:rPr>
        <w:t>在湿地公园内选择有代表性的区域，设立定位或半定位监测站（点），进行野外调查、监测，运用科学的技术手段，准确记录调查、监测数据，掌握湿地公园内资源的分布状况和发展规律。加强交流合作，开展对湿地公园内的重点区域、重点对象的专题研究。</w:t>
      </w:r>
    </w:p>
    <w:p>
      <w:pPr>
        <w:pStyle w:val="5"/>
        <w:numPr>
          <w:ilvl w:val="1"/>
          <w:numId w:val="59"/>
        </w:numPr>
        <w:spacing w:before="197"/>
      </w:pPr>
      <w:bookmarkStart w:id="420" w:name="_Toc24844"/>
      <w:bookmarkStart w:id="421" w:name="_Toc117114392"/>
      <w:bookmarkStart w:id="422" w:name="_Toc114084664"/>
      <w:bookmarkStart w:id="423" w:name="_Toc113925806"/>
      <w:bookmarkStart w:id="424" w:name="_Toc113925554"/>
      <w:bookmarkStart w:id="425" w:name="_Toc18569"/>
      <w:r>
        <w:rPr>
          <w:rFonts w:hint="eastAsia"/>
        </w:rPr>
        <w:t>科研规划</w:t>
      </w:r>
      <w:bookmarkEnd w:id="420"/>
      <w:bookmarkEnd w:id="421"/>
      <w:bookmarkEnd w:id="422"/>
      <w:bookmarkEnd w:id="423"/>
      <w:bookmarkEnd w:id="424"/>
      <w:bookmarkEnd w:id="425"/>
    </w:p>
    <w:p>
      <w:pPr>
        <w:pStyle w:val="6"/>
        <w:numPr>
          <w:ilvl w:val="2"/>
          <w:numId w:val="62"/>
        </w:numPr>
      </w:pPr>
      <w:bookmarkStart w:id="426" w:name="_Toc113925555"/>
      <w:bookmarkStart w:id="427" w:name="_Toc113925807"/>
      <w:r>
        <w:rPr>
          <w:rFonts w:hint="eastAsia"/>
        </w:rPr>
        <w:t>科研队伍建设</w:t>
      </w:r>
      <w:bookmarkEnd w:id="426"/>
      <w:bookmarkEnd w:id="427"/>
    </w:p>
    <w:p>
      <w:pPr>
        <w:ind w:firstLine="560"/>
        <w:rPr>
          <w:rFonts w:cs="Times New Roman"/>
        </w:rPr>
      </w:pPr>
      <w:r>
        <w:rPr>
          <w:rFonts w:hint="eastAsia" w:cs="Times New Roman"/>
        </w:rPr>
        <w:t>（1）有计划地培养仙阳湖国家湿地公园的科研力量，</w:t>
      </w:r>
      <w:r>
        <w:rPr>
          <w:rFonts w:hint="eastAsia" w:ascii="仿宋" w:hAnsi="仿宋" w:cs="仿宋"/>
        </w:rPr>
        <w:t>通过“请进来、派出去”的</w:t>
      </w:r>
      <w:r>
        <w:rPr>
          <w:rFonts w:hint="eastAsia" w:cs="Times New Roman"/>
        </w:rPr>
        <w:t xml:space="preserve">办法提高科研人员的业务水平。 </w:t>
      </w:r>
    </w:p>
    <w:p>
      <w:pPr>
        <w:ind w:firstLine="560"/>
        <w:rPr>
          <w:rFonts w:cs="Times New Roman"/>
        </w:rPr>
      </w:pPr>
      <w:r>
        <w:rPr>
          <w:rFonts w:hint="eastAsia" w:cs="Times New Roman"/>
        </w:rPr>
        <w:t>（</w:t>
      </w:r>
      <w:r>
        <w:rPr>
          <w:rFonts w:cs="Times New Roman"/>
        </w:rPr>
        <w:t>2</w:t>
      </w:r>
      <w:r>
        <w:rPr>
          <w:rFonts w:hint="eastAsia" w:cs="Times New Roman"/>
        </w:rPr>
        <w:t xml:space="preserve">）通过提高人才待遇，接收大专院校毕业生等途径，引进有经验的中、高级科研人才，并对现有职工不断进行专业技术培训，逐步壮大科研队伍。同时，邀请国内外高等院校、研究机构专家与科研单位科技人员来湿地公园开展科学研究。 </w:t>
      </w:r>
    </w:p>
    <w:p>
      <w:pPr>
        <w:ind w:firstLine="560"/>
        <w:rPr>
          <w:rFonts w:cs="Times New Roman"/>
        </w:rPr>
      </w:pPr>
      <w:r>
        <w:rPr>
          <w:rFonts w:hint="eastAsia" w:cs="Times New Roman"/>
        </w:rPr>
        <w:t>（</w:t>
      </w:r>
      <w:r>
        <w:rPr>
          <w:rFonts w:cs="Times New Roman"/>
        </w:rPr>
        <w:t>3</w:t>
      </w:r>
      <w:r>
        <w:rPr>
          <w:rFonts w:hint="eastAsia" w:cs="Times New Roman"/>
        </w:rPr>
        <w:t xml:space="preserve">）制定符合实际的人才培养规划，尽快培养出一批结构合理的科研骨干力量和学科带头人。鼓励在职深造，树立优良学风，倡导上进和钻研精神。 </w:t>
      </w:r>
    </w:p>
    <w:p>
      <w:pPr>
        <w:ind w:firstLine="560"/>
        <w:rPr>
          <w:rFonts w:cs="Times New Roman"/>
        </w:rPr>
      </w:pPr>
      <w:r>
        <w:rPr>
          <w:rFonts w:hint="eastAsia" w:cs="Times New Roman"/>
        </w:rPr>
        <w:t>（</w:t>
      </w:r>
      <w:r>
        <w:rPr>
          <w:rFonts w:cs="Times New Roman"/>
        </w:rPr>
        <w:t>4</w:t>
      </w:r>
      <w:r>
        <w:rPr>
          <w:rFonts w:hint="eastAsia" w:cs="Times New Roman"/>
        </w:rPr>
        <w:t>）积极开展面向湿地公园周边社区群众、中小学生的科学普及工作，激发人们热爱湿地、探索湿地的兴趣，增强保护湿地的自觉性与积极性。</w:t>
      </w:r>
      <w:r>
        <w:rPr>
          <w:rFonts w:cs="Times New Roman"/>
          <w:color w:val="000000"/>
          <w:kern w:val="0"/>
          <w:szCs w:val="28"/>
          <w:lang w:bidi="ar"/>
        </w:rPr>
        <w:t xml:space="preserve"> </w:t>
      </w:r>
    </w:p>
    <w:p>
      <w:pPr>
        <w:pStyle w:val="6"/>
        <w:numPr>
          <w:ilvl w:val="2"/>
          <w:numId w:val="62"/>
        </w:numPr>
      </w:pPr>
      <w:bookmarkStart w:id="428" w:name="_Toc113925808"/>
      <w:bookmarkStart w:id="429" w:name="_Toc113925556"/>
      <w:r>
        <w:rPr>
          <w:rFonts w:hint="eastAsia"/>
        </w:rPr>
        <w:t>科研课题规划</w:t>
      </w:r>
      <w:bookmarkEnd w:id="428"/>
      <w:bookmarkEnd w:id="429"/>
    </w:p>
    <w:p>
      <w:pPr>
        <w:ind w:firstLine="560"/>
        <w:rPr>
          <w:rFonts w:cs="Times New Roman"/>
        </w:rPr>
      </w:pPr>
      <w:r>
        <w:rPr>
          <w:rFonts w:hint="eastAsia" w:cs="Times New Roman"/>
        </w:rPr>
        <w:t xml:space="preserve">（1）湿地公园生物多样性及保护研究 </w:t>
      </w:r>
    </w:p>
    <w:p>
      <w:pPr>
        <w:ind w:firstLine="560"/>
        <w:rPr>
          <w:rFonts w:cs="Times New Roman"/>
        </w:rPr>
      </w:pPr>
      <w:r>
        <w:rPr>
          <w:rFonts w:hint="eastAsia" w:cs="Times New Roman"/>
        </w:rPr>
        <w:t>对公园及其周边动植物的种类、数量及分布进行定期的调查或监测，研究湿地重点保护野生动植物种群数量、资源数量、生物习性、候鸟迁徙规律等，监测生物资源现状，制定相应的保护策略。</w:t>
      </w:r>
    </w:p>
    <w:p>
      <w:pPr>
        <w:ind w:firstLine="560"/>
        <w:rPr>
          <w:rFonts w:cs="Times New Roman"/>
        </w:rPr>
      </w:pPr>
      <w:r>
        <w:rPr>
          <w:rFonts w:hint="eastAsia" w:cs="Times New Roman"/>
        </w:rPr>
        <w:t xml:space="preserve">（2）湿地公园生态系统恢复研究 </w:t>
      </w:r>
    </w:p>
    <w:p>
      <w:pPr>
        <w:ind w:firstLine="560"/>
        <w:rPr>
          <w:rFonts w:cs="Times New Roman"/>
        </w:rPr>
      </w:pPr>
      <w:r>
        <w:rPr>
          <w:rFonts w:hint="eastAsia" w:cs="Times New Roman"/>
        </w:rPr>
        <w:t xml:space="preserve">开展湿地公园生态系统的结构和功能恢复研究，从维护湿地生态系统结构和功能的完整性、保护野生动植物栖息林、防止湿地退化的基本要求出发，通过适度的人工干预，保护、修复或重建湿地景观，研究维护湿地生态过程和变化。 </w:t>
      </w:r>
    </w:p>
    <w:p>
      <w:pPr>
        <w:ind w:firstLine="560"/>
        <w:rPr>
          <w:rFonts w:cs="Times New Roman"/>
        </w:rPr>
      </w:pPr>
      <w:r>
        <w:rPr>
          <w:rFonts w:hint="eastAsia" w:cs="Times New Roman"/>
        </w:rPr>
        <w:t>（3）湿地公园水质保护和保育研究</w:t>
      </w:r>
    </w:p>
    <w:p>
      <w:pPr>
        <w:ind w:firstLine="560"/>
        <w:rPr>
          <w:rFonts w:cs="Times New Roman"/>
        </w:rPr>
      </w:pPr>
      <w:r>
        <w:rPr>
          <w:rFonts w:hint="eastAsia" w:cs="Times New Roman"/>
        </w:rPr>
        <w:t>调查湿地公园水质现状，定量评价其水质等级及其空间分布特征，分析仙阳湖水质存在的主要威胁因子，定量分析其贡献率，提出水质保护和保育切实可行的技术体系，提供主要的应用模式。</w:t>
      </w:r>
    </w:p>
    <w:p>
      <w:pPr>
        <w:ind w:firstLine="560"/>
        <w:rPr>
          <w:rFonts w:cs="Times New Roman"/>
        </w:rPr>
      </w:pPr>
      <w:r>
        <w:rPr>
          <w:rFonts w:hint="eastAsia" w:cs="Times New Roman"/>
        </w:rPr>
        <w:t>（4）湿地公园中华秋沙鸭研究</w:t>
      </w:r>
    </w:p>
    <w:p>
      <w:pPr>
        <w:ind w:firstLine="560"/>
        <w:rPr>
          <w:rFonts w:cs="Times New Roman"/>
        </w:rPr>
      </w:pPr>
      <w:r>
        <w:rPr>
          <w:rFonts w:hint="eastAsia" w:cs="Times New Roman"/>
        </w:rPr>
        <w:t>根据中华秋沙鸭监测结果，结合湿地公园中华秋沙鸭的栖息地和生态系统特征，与专业院校共同继续中华秋沙鸭的监测与研究。</w:t>
      </w:r>
    </w:p>
    <w:p>
      <w:pPr>
        <w:pStyle w:val="6"/>
        <w:numPr>
          <w:ilvl w:val="2"/>
          <w:numId w:val="62"/>
        </w:numPr>
      </w:pPr>
      <w:bookmarkStart w:id="430" w:name="_Toc113925809"/>
      <w:bookmarkStart w:id="431" w:name="_Toc113925557"/>
      <w:r>
        <w:rPr>
          <w:rFonts w:hint="eastAsia"/>
        </w:rPr>
        <w:t>合作交流</w:t>
      </w:r>
      <w:bookmarkEnd w:id="430"/>
      <w:bookmarkEnd w:id="431"/>
    </w:p>
    <w:p>
      <w:pPr>
        <w:ind w:firstLine="560"/>
        <w:rPr>
          <w:rFonts w:cs="Times New Roman"/>
        </w:rPr>
      </w:pPr>
      <w:r>
        <w:rPr>
          <w:rFonts w:hint="eastAsia" w:cs="Times New Roman"/>
        </w:rPr>
        <w:t>加强与国内科研组织机构间的合作，邀请有关专家、学者到湿地公园进行访问调查与科研工作，以提升湿地公园的影响力。规划期内拟每年安排接待1次，共计8次。</w:t>
      </w:r>
    </w:p>
    <w:p>
      <w:pPr>
        <w:ind w:firstLine="560"/>
        <w:rPr>
          <w:rFonts w:cs="Times New Roman"/>
        </w:rPr>
      </w:pPr>
      <w:r>
        <w:rPr>
          <w:rFonts w:hint="eastAsia" w:cs="Times New Roman"/>
        </w:rPr>
        <w:t xml:space="preserve">组织湿地公园管理人员到国内外知名度高、建设较好的湿地公园进行湿地学习考察，规划中每年组织1次，共计8次。 </w:t>
      </w:r>
    </w:p>
    <w:p>
      <w:pPr>
        <w:ind w:firstLine="560"/>
        <w:rPr>
          <w:rFonts w:cs="Times New Roman"/>
        </w:rPr>
      </w:pPr>
      <w:r>
        <w:rPr>
          <w:rFonts w:hint="eastAsia" w:cs="Times New Roman"/>
        </w:rPr>
        <w:t xml:space="preserve">选派湿地公园有关人员到科研院校以及其他国家湿地公园进行短期的技术或管理培训，努力吸收先进技术和管理经验。规划每年组织1次，共计8次。 </w:t>
      </w:r>
    </w:p>
    <w:p>
      <w:pPr>
        <w:pStyle w:val="5"/>
        <w:numPr>
          <w:ilvl w:val="1"/>
          <w:numId w:val="62"/>
        </w:numPr>
        <w:spacing w:before="197"/>
      </w:pPr>
      <w:bookmarkStart w:id="432" w:name="_Toc113925558"/>
      <w:bookmarkStart w:id="433" w:name="_Toc117114393"/>
      <w:bookmarkStart w:id="434" w:name="_Toc114084665"/>
      <w:bookmarkStart w:id="435" w:name="_Toc7681"/>
      <w:bookmarkStart w:id="436" w:name="_Toc113925810"/>
      <w:bookmarkStart w:id="437" w:name="_Toc16813"/>
      <w:r>
        <w:rPr>
          <w:rFonts w:hint="eastAsia"/>
        </w:rPr>
        <w:t>监测规划</w:t>
      </w:r>
      <w:bookmarkEnd w:id="432"/>
      <w:bookmarkEnd w:id="433"/>
      <w:bookmarkEnd w:id="434"/>
      <w:bookmarkEnd w:id="435"/>
      <w:bookmarkEnd w:id="436"/>
      <w:bookmarkEnd w:id="437"/>
    </w:p>
    <w:p>
      <w:pPr>
        <w:ind w:firstLine="560"/>
        <w:rPr>
          <w:rFonts w:cs="Times New Roman"/>
        </w:rPr>
      </w:pPr>
      <w:r>
        <w:rPr>
          <w:rFonts w:hint="eastAsia" w:cs="Times New Roman"/>
        </w:rPr>
        <w:t>为准确、及时、全面地反映湿地公园及周边地区的生态环境质量现状及发展趋势，为生态环境管理、污染源控制、环境规划提供科学依据，应加强对湿地生态环境的监测，以便制定有针对性的保护和恢复措施，更好地保护湿地生物资源，达到有效的动态管理湿地的目的。</w:t>
      </w:r>
    </w:p>
    <w:p>
      <w:pPr>
        <w:pStyle w:val="6"/>
        <w:numPr>
          <w:ilvl w:val="2"/>
          <w:numId w:val="63"/>
        </w:numPr>
      </w:pPr>
      <w:bookmarkStart w:id="438" w:name="_Toc113925559"/>
      <w:bookmarkStart w:id="439" w:name="_Toc113925811"/>
      <w:r>
        <w:rPr>
          <w:rFonts w:hint="eastAsia"/>
        </w:rPr>
        <w:t>监测站点建设</w:t>
      </w:r>
      <w:bookmarkEnd w:id="438"/>
      <w:bookmarkEnd w:id="439"/>
    </w:p>
    <w:p>
      <w:pPr>
        <w:numPr>
          <w:ilvl w:val="255"/>
          <w:numId w:val="0"/>
        </w:numPr>
        <w:ind w:firstLine="560"/>
        <w:rPr>
          <w:rFonts w:cs="Times New Roman"/>
        </w:rPr>
      </w:pPr>
      <w:r>
        <w:rPr>
          <w:rFonts w:hint="eastAsia" w:cs="Times New Roman"/>
        </w:rPr>
        <w:t>（1）湿地科研监测中心</w:t>
      </w:r>
    </w:p>
    <w:p>
      <w:pPr>
        <w:widowControl/>
        <w:ind w:firstLine="560"/>
        <w:jc w:val="left"/>
        <w:rPr>
          <w:rFonts w:cs="Times New Roman"/>
        </w:rPr>
      </w:pPr>
      <w:r>
        <w:rPr>
          <w:rFonts w:hint="eastAsia" w:cs="Times New Roman"/>
        </w:rPr>
        <w:t>湿地科研监测中心是开展科学研究和监测分析的场所，也是开展湿地宣传教育的重要基地。规划湿地科研监测中心位于皂市镇彭家堡，建筑占地面积</w:t>
      </w:r>
      <w:r>
        <w:rPr>
          <w:rFonts w:cs="Times New Roman"/>
        </w:rPr>
        <w:t>800</w:t>
      </w:r>
      <w:r>
        <w:rPr>
          <w:rFonts w:hint="eastAsia" w:cs="Times New Roman"/>
        </w:rPr>
        <w:t>平方米，体现地方建筑特色，结合宣教中心一起设立，同时</w:t>
      </w:r>
      <w:r>
        <w:rPr>
          <w:rFonts w:cs="Times New Roman"/>
          <w:lang w:bidi="ar"/>
        </w:rPr>
        <w:t>配</w:t>
      </w:r>
      <w:r>
        <w:rPr>
          <w:rFonts w:hint="eastAsia" w:cs="Times New Roman"/>
          <w:lang w:bidi="ar"/>
        </w:rPr>
        <w:t>备湿地科研监测中心设备</w:t>
      </w:r>
      <w:r>
        <w:rPr>
          <w:rFonts w:cs="Times New Roman"/>
          <w:lang w:bidi="ar"/>
        </w:rPr>
        <w:t>1</w:t>
      </w:r>
      <w:r>
        <w:rPr>
          <w:rFonts w:hint="eastAsia" w:cs="Times New Roman"/>
          <w:lang w:bidi="ar"/>
        </w:rPr>
        <w:t>套。</w:t>
      </w:r>
    </w:p>
    <w:p>
      <w:pPr>
        <w:ind w:firstLine="560"/>
        <w:rPr>
          <w:rFonts w:cs="Times New Roman"/>
        </w:rPr>
      </w:pPr>
      <w:r>
        <w:rPr>
          <w:rFonts w:hint="eastAsia" w:cs="Times New Roman"/>
        </w:rPr>
        <w:t>（2）鱼类资源监测研究中心</w:t>
      </w:r>
    </w:p>
    <w:p>
      <w:pPr>
        <w:ind w:firstLine="560"/>
        <w:rPr>
          <w:rFonts w:cs="Times New Roman"/>
        </w:rPr>
      </w:pPr>
      <w:r>
        <w:rPr>
          <w:rFonts w:hint="eastAsia" w:cs="Times New Roman"/>
        </w:rPr>
        <w:t>规划在维新镇水碾溪村新建鱼类资源监测研究中心，建筑占地面积1000</w:t>
      </w:r>
      <w:r>
        <w:rPr>
          <w:rFonts w:cs="Times New Roman"/>
        </w:rPr>
        <w:t>平方米</w:t>
      </w:r>
      <w:r>
        <w:rPr>
          <w:rFonts w:hint="eastAsia" w:cs="Times New Roman"/>
        </w:rPr>
        <w:t>，并配备研究设备1套。鱼类资源监测研究中心主要承担定期对湿地公园的鱼类资源的变化进行监测的任务，同时开展鱼类育苗培育研究，根据需要对湿地公园放养鱼种，以达到对鱼类资源的动态平衡。</w:t>
      </w:r>
    </w:p>
    <w:p>
      <w:pPr>
        <w:ind w:firstLine="560"/>
        <w:rPr>
          <w:rFonts w:cs="Times New Roman"/>
        </w:rPr>
      </w:pPr>
      <w:r>
        <w:rPr>
          <w:rFonts w:hint="eastAsia" w:cs="Times New Roman"/>
        </w:rPr>
        <w:t>（3）水文水质监测站</w:t>
      </w:r>
    </w:p>
    <w:p>
      <w:pPr>
        <w:ind w:firstLine="560"/>
        <w:rPr>
          <w:rFonts w:cs="Times New Roman"/>
        </w:rPr>
      </w:pPr>
      <w:r>
        <w:rPr>
          <w:rFonts w:hint="eastAsia" w:cs="Times New Roman"/>
        </w:rPr>
        <w:t>为全面掌握湿地公园内的水文水质变化状况，规划在维新镇建设水文水质监测站</w:t>
      </w:r>
      <w:r>
        <w:rPr>
          <w:rFonts w:cs="Times New Roman"/>
        </w:rPr>
        <w:t>1</w:t>
      </w:r>
      <w:r>
        <w:rPr>
          <w:rFonts w:hint="eastAsia" w:cs="Times New Roman"/>
        </w:rPr>
        <w:t>处，建筑占地20</w:t>
      </w:r>
      <w:r>
        <w:rPr>
          <w:rFonts w:cs="Times New Roman"/>
        </w:rPr>
        <w:t>0</w:t>
      </w:r>
      <w:r>
        <w:rPr>
          <w:rFonts w:hint="eastAsia" w:cs="Times New Roman"/>
        </w:rPr>
        <w:t>平方米，配备自动水文监测设备</w:t>
      </w:r>
      <w:r>
        <w:rPr>
          <w:rFonts w:cs="Times New Roman"/>
        </w:rPr>
        <w:t>1</w:t>
      </w:r>
      <w:r>
        <w:rPr>
          <w:rFonts w:hint="eastAsia" w:cs="Times New Roman"/>
        </w:rPr>
        <w:t>套，重点监测水位、水量变化，水温，含沙量、汛期长短等水文特征指标；配备水质监测设备</w:t>
      </w:r>
      <w:r>
        <w:rPr>
          <w:rFonts w:cs="Times New Roman"/>
        </w:rPr>
        <w:t>1</w:t>
      </w:r>
      <w:r>
        <w:rPr>
          <w:rFonts w:hint="eastAsia" w:cs="Times New Roman"/>
        </w:rPr>
        <w:t>套，重点监测电导率，</w:t>
      </w:r>
      <w:r>
        <w:rPr>
          <w:rFonts w:cs="Times New Roman"/>
        </w:rPr>
        <w:t>pH</w:t>
      </w:r>
      <w:r>
        <w:rPr>
          <w:rFonts w:hint="eastAsia" w:cs="Times New Roman"/>
        </w:rPr>
        <w:t>值，硬度，碱度，无机酸度，水体溶解氧（</w:t>
      </w:r>
      <w:r>
        <w:rPr>
          <w:rFonts w:cs="Times New Roman"/>
        </w:rPr>
        <w:t>DO</w:t>
      </w:r>
      <w:r>
        <w:rPr>
          <w:rFonts w:hint="eastAsia" w:cs="Times New Roman"/>
        </w:rPr>
        <w:t>），化学需氧量（</w:t>
      </w:r>
      <w:r>
        <w:rPr>
          <w:rFonts w:cs="Times New Roman"/>
        </w:rPr>
        <w:t>COD</w:t>
      </w:r>
      <w:r>
        <w:rPr>
          <w:rFonts w:hint="eastAsia" w:cs="Times New Roman"/>
        </w:rPr>
        <w:t>）等水质指标。</w:t>
      </w:r>
    </w:p>
    <w:p>
      <w:pPr>
        <w:ind w:firstLine="560"/>
        <w:rPr>
          <w:rFonts w:cs="Times New Roman"/>
        </w:rPr>
      </w:pPr>
      <w:r>
        <w:rPr>
          <w:rFonts w:hint="eastAsia" w:cs="Times New Roman"/>
        </w:rPr>
        <w:t xml:space="preserve">（4）气象观测站 </w:t>
      </w:r>
    </w:p>
    <w:p>
      <w:pPr>
        <w:ind w:firstLine="560"/>
        <w:rPr>
          <w:rFonts w:cs="Times New Roman"/>
        </w:rPr>
      </w:pPr>
      <w:r>
        <w:rPr>
          <w:rFonts w:hint="eastAsia" w:cs="Times New Roman"/>
        </w:rPr>
        <w:t>为提供湿地公园内气候变化的基础数据，掌握湿地生态系统的物候指标，研究湿地野生动植物动态变化与气候的关系，规划在皂市镇彭家堡建设气象观测站1处，建筑占地面积5</w:t>
      </w:r>
      <w:r>
        <w:rPr>
          <w:rFonts w:cs="Times New Roman"/>
        </w:rPr>
        <w:t>0</w:t>
      </w:r>
      <w:r>
        <w:rPr>
          <w:rFonts w:hint="eastAsia" w:cs="Times New Roman"/>
        </w:rPr>
        <w:t>平方米，设置自动气象观测设备</w:t>
      </w:r>
      <w:r>
        <w:rPr>
          <w:rFonts w:cs="Times New Roman"/>
        </w:rPr>
        <w:t>1</w:t>
      </w:r>
      <w:r>
        <w:rPr>
          <w:rFonts w:hint="eastAsia" w:cs="Times New Roman"/>
        </w:rPr>
        <w:t>套，对湿地区域的气象进行定点监测。</w:t>
      </w:r>
    </w:p>
    <w:p>
      <w:pPr>
        <w:ind w:firstLine="560"/>
        <w:rPr>
          <w:rFonts w:cs="Times New Roman"/>
        </w:rPr>
      </w:pPr>
      <w:r>
        <w:rPr>
          <w:rFonts w:hint="eastAsia" w:cs="Times New Roman"/>
        </w:rPr>
        <w:t>（5）鸟类环志站</w:t>
      </w:r>
    </w:p>
    <w:p>
      <w:pPr>
        <w:ind w:firstLine="560"/>
        <w:rPr>
          <w:rFonts w:cs="Times New Roman"/>
        </w:rPr>
      </w:pPr>
      <w:r>
        <w:rPr>
          <w:rFonts w:hint="eastAsia" w:cs="Times New Roman"/>
        </w:rPr>
        <w:t>规划在皂市镇彭家堡新建鸟类环志站，与救助站共建，规划建筑占地面积300平方米。</w:t>
      </w:r>
    </w:p>
    <w:p>
      <w:pPr>
        <w:ind w:firstLine="560"/>
        <w:rPr>
          <w:rFonts w:cs="Times New Roman"/>
        </w:rPr>
      </w:pPr>
      <w:r>
        <w:rPr>
          <w:rFonts w:hint="eastAsia" w:cs="Times New Roman"/>
        </w:rPr>
        <w:t>鸟类环志主要包括环志档案室、环志监测工作室、环志工作室等。档案室主要保存环志档案；环志监测工作室负责与全国鸟类环志中心及各地环志站的联络和环志信息管理；环志工作室用于鸟类环志网捕、环志、量测、放飞，负责鸟类环志记录及回收信息。</w:t>
      </w:r>
    </w:p>
    <w:p>
      <w:pPr>
        <w:pStyle w:val="6"/>
        <w:numPr>
          <w:ilvl w:val="2"/>
          <w:numId w:val="63"/>
        </w:numPr>
      </w:pPr>
      <w:bookmarkStart w:id="440" w:name="_Toc113925812"/>
      <w:bookmarkStart w:id="441" w:name="_Toc113925560"/>
      <w:r>
        <w:rPr>
          <w:rFonts w:hint="eastAsia"/>
        </w:rPr>
        <w:t>湿地资源及环境动态监测</w:t>
      </w:r>
      <w:bookmarkEnd w:id="440"/>
      <w:bookmarkEnd w:id="441"/>
      <w:r>
        <w:t xml:space="preserve"> </w:t>
      </w:r>
    </w:p>
    <w:p>
      <w:pPr>
        <w:ind w:firstLine="560"/>
        <w:rPr>
          <w:rFonts w:cs="Times New Roman"/>
        </w:rPr>
      </w:pPr>
      <w:r>
        <w:rPr>
          <w:rFonts w:hint="eastAsia" w:cs="Times New Roman"/>
        </w:rPr>
        <w:t xml:space="preserve">（1）环境因素全天候自动监测部分 </w:t>
      </w:r>
    </w:p>
    <w:p>
      <w:pPr>
        <w:ind w:firstLine="560"/>
        <w:rPr>
          <w:rFonts w:cs="Times New Roman"/>
        </w:rPr>
      </w:pPr>
      <w:r>
        <w:rPr>
          <w:rFonts w:hint="eastAsia" w:cs="Times New Roman"/>
        </w:rPr>
        <w:t>① 气象观测</w:t>
      </w:r>
    </w:p>
    <w:p>
      <w:pPr>
        <w:ind w:firstLine="560"/>
        <w:rPr>
          <w:rFonts w:cs="Times New Roman"/>
        </w:rPr>
      </w:pPr>
      <w:r>
        <w:rPr>
          <w:rFonts w:hint="eastAsia" w:cs="Times New Roman"/>
        </w:rPr>
        <w:t>依据《地面气象观测规范</w:t>
      </w:r>
      <w:r>
        <w:rPr>
          <w:rFonts w:cs="Times New Roman"/>
        </w:rPr>
        <w:t xml:space="preserve"> </w:t>
      </w:r>
      <w:r>
        <w:rPr>
          <w:rFonts w:hint="eastAsia" w:cs="Times New Roman"/>
        </w:rPr>
        <w:t>第1部分：总则》（</w:t>
      </w:r>
      <w:r>
        <w:rPr>
          <w:rFonts w:cs="Times New Roman"/>
        </w:rPr>
        <w:t>QX/T 45-2007</w:t>
      </w:r>
      <w:r>
        <w:rPr>
          <w:rFonts w:hint="eastAsia" w:cs="Times New Roman"/>
        </w:rPr>
        <w:t>）、《地面气象观测规范</w:t>
      </w:r>
      <w:r>
        <w:rPr>
          <w:rFonts w:cs="Times New Roman"/>
        </w:rPr>
        <w:t xml:space="preserve"> </w:t>
      </w:r>
      <w:r>
        <w:rPr>
          <w:rFonts w:hint="eastAsia" w:cs="Times New Roman"/>
        </w:rPr>
        <w:t>第</w:t>
      </w:r>
      <w:r>
        <w:rPr>
          <w:rFonts w:cs="Times New Roman"/>
        </w:rPr>
        <w:t>17</w:t>
      </w:r>
      <w:r>
        <w:rPr>
          <w:rFonts w:hint="eastAsia" w:cs="Times New Roman"/>
        </w:rPr>
        <w:t>部分：自动气象站观测》（</w:t>
      </w:r>
      <w:r>
        <w:rPr>
          <w:rFonts w:cs="Times New Roman"/>
        </w:rPr>
        <w:t>QX/T 61-2007</w:t>
      </w:r>
      <w:r>
        <w:rPr>
          <w:rFonts w:hint="eastAsia" w:cs="Times New Roman"/>
        </w:rPr>
        <w:t>）的要求，采用自动气象站对湿地公园气象进行观测，主要观测项目包括：气温、湿地、降水量、风向、风速、气压、地温、辐射、日照、蒸发。应采取措施保证监测数据的准确性、连续性和完整性，确保全面、客观地反映监测结果。采用自动监测设备全年</w:t>
      </w:r>
      <w:r>
        <w:rPr>
          <w:rFonts w:cs="Times New Roman"/>
        </w:rPr>
        <w:t>365</w:t>
      </w:r>
      <w:r>
        <w:rPr>
          <w:rFonts w:hint="eastAsia" w:cs="Times New Roman"/>
        </w:rPr>
        <w:t>天（闰年</w:t>
      </w:r>
      <w:r>
        <w:rPr>
          <w:rFonts w:cs="Times New Roman"/>
        </w:rPr>
        <w:t>366</w:t>
      </w:r>
      <w:r>
        <w:rPr>
          <w:rFonts w:hint="eastAsia" w:cs="Times New Roman"/>
        </w:rPr>
        <w:t xml:space="preserve">天）连续运行监测。 </w:t>
      </w:r>
    </w:p>
    <w:p>
      <w:pPr>
        <w:ind w:firstLine="560"/>
        <w:rPr>
          <w:rFonts w:cs="Times New Roman"/>
        </w:rPr>
      </w:pPr>
      <w:r>
        <w:rPr>
          <w:rFonts w:hint="eastAsia" w:cs="Times New Roman"/>
        </w:rPr>
        <w:t>② 水文水质监测</w:t>
      </w:r>
    </w:p>
    <w:p>
      <w:pPr>
        <w:ind w:firstLine="560"/>
        <w:rPr>
          <w:rFonts w:cs="Times New Roman"/>
        </w:rPr>
      </w:pPr>
      <w:r>
        <w:rPr>
          <w:rFonts w:hint="eastAsia" w:cs="Times New Roman"/>
        </w:rPr>
        <w:t>依据《水文自动测报系统技术规范》（</w:t>
      </w:r>
      <w:r>
        <w:rPr>
          <w:rFonts w:cs="Times New Roman"/>
        </w:rPr>
        <w:t>SL 61-2015</w:t>
      </w:r>
      <w:r>
        <w:rPr>
          <w:rFonts w:hint="eastAsia" w:cs="Times New Roman"/>
        </w:rPr>
        <w:t>）的建设要求，采用自动测报系统对湿地公园水文情况进行监测，主要监测项目包括：水位、流量、流速、降雨（雪）、蒸发、泥沙、冰凌、墒情、水质等。应采取措施保证监测数据的准确性、连续性和完整性，确保全面、客观地反映监测结果。采用自动监测设备全年</w:t>
      </w:r>
      <w:r>
        <w:rPr>
          <w:rFonts w:cs="Times New Roman"/>
        </w:rPr>
        <w:t>365</w:t>
      </w:r>
      <w:r>
        <w:rPr>
          <w:rFonts w:hint="eastAsia" w:cs="Times New Roman"/>
        </w:rPr>
        <w:t>天（闰年</w:t>
      </w:r>
      <w:r>
        <w:rPr>
          <w:rFonts w:cs="Times New Roman"/>
        </w:rPr>
        <w:t>366</w:t>
      </w:r>
      <w:r>
        <w:rPr>
          <w:rFonts w:hint="eastAsia" w:cs="Times New Roman"/>
        </w:rPr>
        <w:t>天）连续运行监测。</w:t>
      </w:r>
    </w:p>
    <w:p>
      <w:pPr>
        <w:ind w:firstLine="560"/>
        <w:rPr>
          <w:rFonts w:cs="Times New Roman"/>
        </w:rPr>
      </w:pPr>
      <w:r>
        <w:rPr>
          <w:rFonts w:hint="eastAsia" w:cs="Times New Roman"/>
        </w:rPr>
        <w:t>（</w:t>
      </w:r>
      <w:r>
        <w:rPr>
          <w:rFonts w:cs="Times New Roman"/>
        </w:rPr>
        <w:t>2</w:t>
      </w:r>
      <w:r>
        <w:rPr>
          <w:rFonts w:hint="eastAsia" w:cs="Times New Roman"/>
        </w:rPr>
        <w:t xml:space="preserve">）环境因素人工抽样监测 </w:t>
      </w:r>
    </w:p>
    <w:p>
      <w:pPr>
        <w:ind w:firstLine="560"/>
        <w:rPr>
          <w:rFonts w:cs="Times New Roman"/>
        </w:rPr>
      </w:pPr>
      <w:r>
        <w:rPr>
          <w:rFonts w:hint="eastAsia" w:cs="Times New Roman"/>
        </w:rPr>
        <w:t xml:space="preserve">① 环境空气质量监测 </w:t>
      </w:r>
    </w:p>
    <w:p>
      <w:pPr>
        <w:ind w:firstLine="560"/>
        <w:rPr>
          <w:rFonts w:cs="Times New Roman"/>
        </w:rPr>
      </w:pPr>
      <w:r>
        <w:rPr>
          <w:rFonts w:hint="eastAsia" w:cs="Times New Roman"/>
        </w:rPr>
        <w:t>依据《环境空气质量标准》（</w:t>
      </w:r>
      <w:r>
        <w:rPr>
          <w:rFonts w:cs="Times New Roman"/>
        </w:rPr>
        <w:t>GB3095-2012</w:t>
      </w:r>
      <w:r>
        <w:rPr>
          <w:rFonts w:hint="eastAsia" w:cs="Times New Roman"/>
        </w:rPr>
        <w:t>）的要求，环境空气质量监测项目主要包括：二氧化硫（</w:t>
      </w:r>
      <w:r>
        <w:rPr>
          <w:rFonts w:cs="Times New Roman"/>
        </w:rPr>
        <w:t>SO</w:t>
      </w:r>
      <w:r>
        <w:rPr>
          <w:rFonts w:cs="Times New Roman"/>
          <w:vertAlign w:val="subscript"/>
        </w:rPr>
        <w:t>2</w:t>
      </w:r>
      <w:r>
        <w:rPr>
          <w:rFonts w:hint="eastAsia" w:cs="Times New Roman"/>
        </w:rPr>
        <w:t>）、二氧化氮（</w:t>
      </w:r>
      <w:r>
        <w:rPr>
          <w:rFonts w:cs="Times New Roman"/>
        </w:rPr>
        <w:t>NO</w:t>
      </w:r>
      <w:r>
        <w:rPr>
          <w:rFonts w:cs="Times New Roman"/>
          <w:vertAlign w:val="subscript"/>
        </w:rPr>
        <w:t>2</w:t>
      </w:r>
      <w:r>
        <w:rPr>
          <w:rFonts w:hint="eastAsia" w:cs="Times New Roman"/>
        </w:rPr>
        <w:t>）、一氧化碳（</w:t>
      </w:r>
      <w:r>
        <w:rPr>
          <w:rFonts w:cs="Times New Roman"/>
        </w:rPr>
        <w:t>CO</w:t>
      </w:r>
      <w:r>
        <w:rPr>
          <w:rFonts w:hint="eastAsia" w:cs="Times New Roman"/>
        </w:rPr>
        <w:t>）、臭氧（</w:t>
      </w:r>
      <w:r>
        <w:rPr>
          <w:rFonts w:cs="Times New Roman"/>
        </w:rPr>
        <w:t>O</w:t>
      </w:r>
      <w:r>
        <w:rPr>
          <w:rFonts w:cs="Times New Roman"/>
          <w:vertAlign w:val="subscript"/>
        </w:rPr>
        <w:t>3</w:t>
      </w:r>
      <w:r>
        <w:rPr>
          <w:rFonts w:hint="eastAsia" w:cs="Times New Roman"/>
        </w:rPr>
        <w:t>）、颗粒物（粒径小于等于</w:t>
      </w:r>
      <w:r>
        <w:rPr>
          <w:rFonts w:cs="Times New Roman"/>
        </w:rPr>
        <w:t>10μm</w:t>
      </w:r>
      <w:r>
        <w:rPr>
          <w:rFonts w:hint="eastAsia" w:cs="Times New Roman"/>
        </w:rPr>
        <w:t>）、颗粒物（粒径小于等于2</w:t>
      </w:r>
      <w:r>
        <w:rPr>
          <w:rFonts w:cs="Times New Roman"/>
        </w:rPr>
        <w:t>.5μm</w:t>
      </w:r>
      <w:r>
        <w:rPr>
          <w:rFonts w:hint="eastAsia" w:cs="Times New Roman"/>
        </w:rPr>
        <w:t>）、总悬浮颗粒物（</w:t>
      </w:r>
      <w:r>
        <w:rPr>
          <w:rFonts w:cs="Times New Roman"/>
        </w:rPr>
        <w:t>TSP</w:t>
      </w:r>
      <w:r>
        <w:rPr>
          <w:rFonts w:hint="eastAsia" w:cs="Times New Roman"/>
        </w:rPr>
        <w:t>）、氮氧化物（</w:t>
      </w:r>
      <w:r>
        <w:rPr>
          <w:rFonts w:cs="Times New Roman"/>
        </w:rPr>
        <w:t>NOx</w:t>
      </w:r>
      <w:r>
        <w:rPr>
          <w:rFonts w:hint="eastAsia" w:cs="Times New Roman"/>
        </w:rPr>
        <w:t>）、铅（</w:t>
      </w:r>
      <w:r>
        <w:rPr>
          <w:rFonts w:cs="Times New Roman"/>
        </w:rPr>
        <w:t>Pb</w:t>
      </w:r>
      <w:r>
        <w:rPr>
          <w:rFonts w:hint="eastAsia" w:cs="Times New Roman"/>
        </w:rPr>
        <w:t>）、苯并〔</w:t>
      </w:r>
      <w:r>
        <w:rPr>
          <w:rFonts w:cs="Times New Roman"/>
        </w:rPr>
        <w:t>α</w:t>
      </w:r>
      <w:r>
        <w:rPr>
          <w:rFonts w:hint="eastAsia" w:cs="Times New Roman"/>
        </w:rPr>
        <w:t>〕芘（</w:t>
      </w:r>
      <w:r>
        <w:rPr>
          <w:rFonts w:cs="Times New Roman"/>
        </w:rPr>
        <w:t>BaP</w:t>
      </w:r>
      <w:r>
        <w:rPr>
          <w:rFonts w:hint="eastAsia" w:cs="Times New Roman"/>
        </w:rPr>
        <w:t>）等。本项目采取外包的形式，每月监测一次。</w:t>
      </w:r>
    </w:p>
    <w:p>
      <w:pPr>
        <w:ind w:firstLine="560"/>
        <w:rPr>
          <w:rFonts w:cs="Times New Roman"/>
        </w:rPr>
      </w:pPr>
      <w:r>
        <w:rPr>
          <w:rFonts w:hint="eastAsia" w:cs="Times New Roman"/>
        </w:rPr>
        <w:t>② 地表水环境质量监测</w:t>
      </w:r>
    </w:p>
    <w:p>
      <w:pPr>
        <w:ind w:firstLine="560"/>
        <w:rPr>
          <w:rFonts w:cs="Times New Roman"/>
        </w:rPr>
      </w:pPr>
      <w:r>
        <w:rPr>
          <w:rFonts w:hint="eastAsia" w:cs="Times New Roman"/>
        </w:rPr>
        <w:t>根据《地表水环境质量标准》（</w:t>
      </w:r>
      <w:r>
        <w:rPr>
          <w:rFonts w:cs="Times New Roman"/>
        </w:rPr>
        <w:t>GB3838-2002</w:t>
      </w:r>
      <w:r>
        <w:rPr>
          <w:rFonts w:hint="eastAsia" w:cs="Times New Roman"/>
        </w:rPr>
        <w:t>）地表水环境质量监测主要包括：水温、</w:t>
      </w:r>
      <w:r>
        <w:rPr>
          <w:rFonts w:cs="Times New Roman"/>
        </w:rPr>
        <w:t>pH</w:t>
      </w:r>
      <w:r>
        <w:rPr>
          <w:rFonts w:hint="eastAsia" w:cs="Times New Roman"/>
        </w:rPr>
        <w:t>、溶解氧、高锰酸盐指数、化学需氧量、</w:t>
      </w:r>
      <w:r>
        <w:rPr>
          <w:rFonts w:cs="Times New Roman"/>
        </w:rPr>
        <w:t>BOD</w:t>
      </w:r>
      <w:r>
        <w:rPr>
          <w:rFonts w:hint="eastAsia" w:cs="Times New Roman"/>
        </w:rPr>
        <w:t xml:space="preserve">、氨氮、总氮、总磷、铜、锌、氟化物、硒、砷、汞、镉、铬（六价）、铅、氰化物、挥发酚、石油类、阴离子表面活性剂、硫化物和粪大肠菌群等。 </w:t>
      </w:r>
    </w:p>
    <w:p>
      <w:pPr>
        <w:ind w:firstLine="560"/>
        <w:rPr>
          <w:rFonts w:cs="Times New Roman"/>
        </w:rPr>
      </w:pPr>
      <w:r>
        <w:rPr>
          <w:rFonts w:hint="eastAsia" w:cs="Times New Roman"/>
        </w:rPr>
        <w:t>地表水水质监测的采样布点、监测频率应符合国家地表水环境监测技术规范的要求。本项目采取外包的形式，每月监测一次。</w:t>
      </w:r>
    </w:p>
    <w:p>
      <w:pPr>
        <w:ind w:firstLine="560"/>
        <w:rPr>
          <w:rFonts w:cs="Times New Roman"/>
        </w:rPr>
      </w:pPr>
      <w:r>
        <w:rPr>
          <w:rFonts w:hint="eastAsia" w:cs="Times New Roman"/>
        </w:rPr>
        <w:t xml:space="preserve">③ 土壤环境质量监测 </w:t>
      </w:r>
    </w:p>
    <w:p>
      <w:pPr>
        <w:ind w:firstLine="560"/>
        <w:rPr>
          <w:rFonts w:cs="Times New Roman"/>
        </w:rPr>
      </w:pPr>
      <w:r>
        <w:rPr>
          <w:rFonts w:hint="eastAsia" w:cs="Times New Roman"/>
        </w:rPr>
        <w:t>根据《土壤环境质量标准》（</w:t>
      </w:r>
      <w:r>
        <w:rPr>
          <w:rFonts w:cs="Times New Roman"/>
        </w:rPr>
        <w:t>GB15618-1995</w:t>
      </w:r>
      <w:r>
        <w:rPr>
          <w:rFonts w:hint="eastAsia" w:cs="Times New Roman"/>
        </w:rPr>
        <w:t>）土壤环境质量监测主要包括：土壤</w:t>
      </w:r>
      <w:r>
        <w:rPr>
          <w:rFonts w:cs="Times New Roman"/>
        </w:rPr>
        <w:t>pH</w:t>
      </w:r>
      <w:r>
        <w:rPr>
          <w:rFonts w:hint="eastAsia" w:cs="Times New Roman"/>
        </w:rPr>
        <w:t>值、镉、汞、砷、铜、铅、铬、锌、镍、六六六（四种异构体总量）、滴滴涕（四种衍生物总量）等。土壤监测方法参照《土壤环境监测技术规范》（</w:t>
      </w:r>
      <w:r>
        <w:rPr>
          <w:rFonts w:cs="Times New Roman"/>
        </w:rPr>
        <w:t>HJ/T166-2004</w:t>
      </w:r>
      <w:r>
        <w:rPr>
          <w:rFonts w:hint="eastAsia" w:cs="Times New Roman"/>
        </w:rPr>
        <w:t>）执行。本项目采取外包的形式，每月监测一次。</w:t>
      </w:r>
    </w:p>
    <w:p>
      <w:pPr>
        <w:ind w:firstLine="560"/>
        <w:rPr>
          <w:rFonts w:cs="Times New Roman"/>
        </w:rPr>
      </w:pPr>
      <w:r>
        <w:rPr>
          <w:rFonts w:hint="eastAsia" w:cs="Times New Roman"/>
        </w:rPr>
        <w:t>（</w:t>
      </w:r>
      <w:r>
        <w:rPr>
          <w:rFonts w:cs="Times New Roman"/>
        </w:rPr>
        <w:t>3</w:t>
      </w:r>
      <w:r>
        <w:rPr>
          <w:rFonts w:hint="eastAsia" w:cs="Times New Roman"/>
        </w:rPr>
        <w:t>）生物多样性监测</w:t>
      </w:r>
    </w:p>
    <w:p>
      <w:pPr>
        <w:ind w:firstLine="560"/>
        <w:rPr>
          <w:rFonts w:cs="Times New Roman"/>
        </w:rPr>
      </w:pPr>
      <w:r>
        <w:rPr>
          <w:rFonts w:hint="eastAsia" w:cs="Times New Roman"/>
        </w:rPr>
        <w:t>① 动物监测项目指标：鱼类、两栖类、爬行类、鸟类、兽类、昆虫类等的种类组成、群落特征、生物数量、优势种类、指示种类、生活习性、食物链消长，濒危野生动物数量及动态、活动范围、越冬时间、迁徒规律等。</w:t>
      </w:r>
    </w:p>
    <w:p>
      <w:pPr>
        <w:ind w:firstLine="560"/>
        <w:rPr>
          <w:rFonts w:cs="Times New Roman"/>
        </w:rPr>
      </w:pPr>
      <w:r>
        <w:rPr>
          <w:rFonts w:hint="eastAsia" w:cs="Times New Roman"/>
        </w:rPr>
        <w:t>② 植物监测项目指标：乔木、灌木、草甸、沉水、挺水植物和藻类等的数量、生物量、生长量、优势种、指标植物、群落结构、群落面积、覆盖度，珍稀植物及其分布特征。也可以把植株、果实或种子中农药、重金属等有毒物质含量、叶绿素</w:t>
      </w:r>
      <w:r>
        <w:rPr>
          <w:rFonts w:cs="Times New Roman"/>
        </w:rPr>
        <w:t>A</w:t>
      </w:r>
      <w:r>
        <w:rPr>
          <w:rFonts w:hint="eastAsia" w:cs="Times New Roman"/>
        </w:rPr>
        <w:t>含量作为植物监测项目指标。</w:t>
      </w:r>
    </w:p>
    <w:p>
      <w:pPr>
        <w:ind w:firstLine="560"/>
        <w:rPr>
          <w:rFonts w:cs="Times New Roman"/>
        </w:rPr>
      </w:pPr>
      <w:r>
        <w:rPr>
          <w:rFonts w:hint="eastAsia" w:cs="Times New Roman"/>
        </w:rPr>
        <w:t>③ 监测时间：植物每年</w:t>
      </w:r>
      <w:r>
        <w:rPr>
          <w:rFonts w:cs="Times New Roman"/>
        </w:rPr>
        <w:t>1</w:t>
      </w:r>
      <w:r>
        <w:rPr>
          <w:rFonts w:hint="eastAsia" w:cs="Times New Roman"/>
        </w:rPr>
        <w:t>次进行定位监测，动物每年</w:t>
      </w:r>
      <w:r>
        <w:rPr>
          <w:rFonts w:cs="Times New Roman"/>
        </w:rPr>
        <w:t>2</w:t>
      </w:r>
      <w:r>
        <w:rPr>
          <w:rFonts w:hint="eastAsia" w:cs="Times New Roman"/>
        </w:rPr>
        <w:t xml:space="preserve">次进行定点监测。 </w:t>
      </w:r>
    </w:p>
    <w:p>
      <w:pPr>
        <w:ind w:firstLine="560"/>
        <w:rPr>
          <w:rFonts w:cs="Times New Roman"/>
        </w:rPr>
      </w:pPr>
      <w:r>
        <w:rPr>
          <w:rFonts w:hint="eastAsia" w:cs="Times New Roman"/>
        </w:rPr>
        <w:t>（</w:t>
      </w:r>
      <w:r>
        <w:rPr>
          <w:rFonts w:cs="Times New Roman"/>
        </w:rPr>
        <w:t>4</w:t>
      </w:r>
      <w:r>
        <w:rPr>
          <w:rFonts w:hint="eastAsia" w:cs="Times New Roman"/>
        </w:rPr>
        <w:t xml:space="preserve">）游客影响监测 </w:t>
      </w:r>
    </w:p>
    <w:p>
      <w:pPr>
        <w:ind w:firstLine="560"/>
        <w:rPr>
          <w:rFonts w:cs="Times New Roman"/>
        </w:rPr>
      </w:pPr>
      <w:r>
        <w:rPr>
          <w:rFonts w:hint="eastAsia" w:cs="Times New Roman"/>
        </w:rPr>
        <w:t xml:space="preserve">① 游人指标监测体系 </w:t>
      </w:r>
    </w:p>
    <w:p>
      <w:pPr>
        <w:ind w:firstLine="560"/>
        <w:rPr>
          <w:rFonts w:cs="Times New Roman"/>
        </w:rPr>
      </w:pPr>
      <w:r>
        <w:rPr>
          <w:rFonts w:hint="eastAsia" w:cs="Times New Roman"/>
        </w:rPr>
        <w:t>游人指标监测体系指标包括游客人数、客源地、游客年龄结构、文化结构、游客停留时间、游客行为喜好、人为影响等。重点监测各功能区和景点的人员聚集情况、停留时段、交通流量、住宿接待设施利用等的各项指标，为湿地公园的管理和服务提供科学的依据。当湿地公园的游客人数超过湿地环境的承载能力时，应限制游人的进入。随时开展对游客和当地患手足口病疫情、流感疫情等疾病的应急监测，一旦发现游客有发热、咳嗽、流涕、口腔起水泡等流感样症状且近</w:t>
      </w:r>
      <w:r>
        <w:rPr>
          <w:rFonts w:cs="Times New Roman"/>
        </w:rPr>
        <w:t>7</w:t>
      </w:r>
      <w:r>
        <w:rPr>
          <w:rFonts w:hint="eastAsia" w:cs="Times New Roman"/>
        </w:rPr>
        <w:t xml:space="preserve">天内来自或到过有关疫情发生的地区时，应立即上报至主管部门和当地疾病控制机构。 </w:t>
      </w:r>
    </w:p>
    <w:p>
      <w:pPr>
        <w:ind w:firstLine="560"/>
        <w:rPr>
          <w:rFonts w:cs="Times New Roman"/>
        </w:rPr>
      </w:pPr>
      <w:r>
        <w:rPr>
          <w:rFonts w:hint="eastAsia" w:cs="Times New Roman"/>
        </w:rPr>
        <w:t xml:space="preserve">② 游客影响监测方法 </w:t>
      </w:r>
    </w:p>
    <w:p>
      <w:pPr>
        <w:ind w:firstLine="560"/>
        <w:rPr>
          <w:rFonts w:cs="Times New Roman"/>
        </w:rPr>
      </w:pPr>
      <w:r>
        <w:rPr>
          <w:rFonts w:hint="eastAsia" w:cs="Times New Roman"/>
        </w:rPr>
        <w:t xml:space="preserve">监测方法可采用游客登记、问卷调查以及常规仪器监测等。 </w:t>
      </w:r>
    </w:p>
    <w:p>
      <w:pPr>
        <w:ind w:firstLine="560"/>
        <w:rPr>
          <w:rFonts w:cs="Times New Roman"/>
        </w:rPr>
      </w:pPr>
      <w:r>
        <w:rPr>
          <w:rFonts w:hint="eastAsia" w:cs="Times New Roman"/>
        </w:rPr>
        <w:t>（</w:t>
      </w:r>
      <w:r>
        <w:rPr>
          <w:rFonts w:cs="Times New Roman"/>
        </w:rPr>
        <w:t>5</w:t>
      </w:r>
      <w:r>
        <w:rPr>
          <w:rFonts w:hint="eastAsia" w:cs="Times New Roman"/>
        </w:rPr>
        <w:t xml:space="preserve">）湿地监测信息系统建设 </w:t>
      </w:r>
    </w:p>
    <w:p>
      <w:pPr>
        <w:ind w:firstLine="560"/>
        <w:rPr>
          <w:rFonts w:cs="Times New Roman"/>
        </w:rPr>
      </w:pPr>
      <w:r>
        <w:rPr>
          <w:rFonts w:hint="eastAsia" w:cs="Times New Roman"/>
        </w:rPr>
        <w:t>为科学管理湿地公园内的各类监测数据，同时利于数据共享，应结合湿地视频监控系统建设，建立湿地公园的监测信息系统。为保证系统的正常运转，需调查和收集以下的基础信息：湿地公园的本地资料；湿地资源与环境的动态监测数据；湿地公园的建设情况与建设发展；旅游活动对环境的影响；周边社区人口与社会经济活动对项目区的影响等。</w:t>
      </w:r>
    </w:p>
    <w:p>
      <w:pPr>
        <w:widowControl/>
        <w:ind w:firstLine="560"/>
        <w:jc w:val="left"/>
        <w:rPr>
          <w:rFonts w:eastAsia="宋体" w:cs="Times New Roman"/>
          <w:color w:val="000000"/>
          <w:kern w:val="0"/>
          <w:szCs w:val="28"/>
          <w:lang w:bidi="ar"/>
        </w:rPr>
      </w:pPr>
      <w:r>
        <w:rPr>
          <w:rFonts w:ascii="仿宋" w:hAnsi="仿宋" w:cs="仿宋"/>
          <w:color w:val="000000"/>
          <w:kern w:val="0"/>
          <w:szCs w:val="28"/>
          <w:lang w:bidi="ar"/>
        </w:rPr>
        <w:t>以上规划内容见表</w:t>
      </w:r>
      <w:r>
        <w:rPr>
          <w:rFonts w:eastAsia="宋体" w:cs="Times New Roman"/>
          <w:color w:val="000000"/>
          <w:kern w:val="0"/>
          <w:szCs w:val="28"/>
          <w:lang w:bidi="ar"/>
        </w:rPr>
        <w:t>8-1</w:t>
      </w:r>
      <w:r>
        <w:rPr>
          <w:rFonts w:hint="eastAsia" w:eastAsia="宋体" w:cs="Times New Roman"/>
          <w:color w:val="000000"/>
          <w:kern w:val="0"/>
          <w:szCs w:val="28"/>
          <w:lang w:bidi="ar"/>
        </w:rPr>
        <w:t>。</w:t>
      </w:r>
    </w:p>
    <w:p>
      <w:pPr>
        <w:keepNext/>
        <w:keepLines/>
        <w:pageBreakBefore/>
        <w:widowControl/>
        <w:spacing w:before="197" w:beforeLines="50" w:line="240" w:lineRule="auto"/>
        <w:ind w:firstLine="0" w:firstLineChars="0"/>
        <w:jc w:val="center"/>
        <w:rPr>
          <w:rFonts w:ascii="黑体" w:hAnsi="黑体" w:cs="黑体"/>
          <w:sz w:val="24"/>
        </w:rPr>
      </w:pPr>
      <w:r>
        <w:rPr>
          <w:rFonts w:hint="eastAsia" w:ascii="黑体" w:hAnsi="黑体" w:eastAsia="黑体" w:cs="黑体"/>
          <w:sz w:val="24"/>
        </w:rPr>
        <w:t>仙阳湖国家湿地公园科研监测规划主要建设项目一览表</w:t>
      </w:r>
    </w:p>
    <w:p>
      <w:pPr>
        <w:keepLines/>
        <w:spacing w:line="240" w:lineRule="auto"/>
        <w:ind w:firstLine="0" w:firstLineChars="0"/>
        <w:rPr>
          <w:rFonts w:cs="Times New Roman"/>
          <w:sz w:val="21"/>
          <w:szCs w:val="21"/>
        </w:rPr>
      </w:pPr>
      <w:r>
        <w:rPr>
          <w:rFonts w:hint="eastAsia" w:ascii="黑体" w:hAnsi="黑体" w:eastAsia="黑体" w:cs="黑体"/>
          <w:sz w:val="21"/>
          <w:szCs w:val="21"/>
        </w:rPr>
        <w:t>表</w:t>
      </w:r>
      <w:r>
        <w:rPr>
          <w:rFonts w:ascii="黑体" w:hAnsi="黑体" w:eastAsia="黑体" w:cs="黑体"/>
          <w:sz w:val="21"/>
          <w:szCs w:val="21"/>
        </w:rPr>
        <w:fldChar w:fldCharType="begin"/>
      </w:r>
      <w:r>
        <w:rPr>
          <w:rFonts w:ascii="黑体" w:hAnsi="黑体" w:eastAsia="黑体" w:cs="黑体"/>
          <w:sz w:val="21"/>
          <w:szCs w:val="21"/>
        </w:rPr>
        <w:instrText xml:space="preserve"> </w:instrText>
      </w:r>
      <w:r>
        <w:rPr>
          <w:rFonts w:hint="eastAsia" w:ascii="黑体" w:hAnsi="黑体" w:eastAsia="黑体" w:cs="黑体"/>
          <w:sz w:val="21"/>
          <w:szCs w:val="21"/>
        </w:rPr>
        <w:instrText xml:space="preserve">STYLEREF 1 \s</w:instrText>
      </w:r>
      <w:r>
        <w:rPr>
          <w:rFonts w:ascii="黑体" w:hAnsi="黑体" w:eastAsia="黑体" w:cs="黑体"/>
          <w:sz w:val="21"/>
          <w:szCs w:val="21"/>
        </w:rPr>
        <w:instrText xml:space="preserve"> </w:instrText>
      </w:r>
      <w:r>
        <w:rPr>
          <w:rFonts w:ascii="黑体" w:hAnsi="黑体" w:eastAsia="黑体" w:cs="黑体"/>
          <w:sz w:val="21"/>
          <w:szCs w:val="21"/>
        </w:rPr>
        <w:fldChar w:fldCharType="separate"/>
      </w:r>
      <w:r>
        <w:rPr>
          <w:rFonts w:ascii="黑体" w:hAnsi="黑体" w:eastAsia="黑体" w:cs="黑体"/>
          <w:sz w:val="21"/>
          <w:szCs w:val="21"/>
        </w:rPr>
        <w:t>8</w:t>
      </w:r>
      <w:r>
        <w:rPr>
          <w:rFonts w:ascii="黑体" w:hAnsi="黑体" w:eastAsia="黑体" w:cs="黑体"/>
          <w:sz w:val="21"/>
          <w:szCs w:val="21"/>
        </w:rPr>
        <w:fldChar w:fldCharType="end"/>
      </w:r>
      <w:r>
        <w:rPr>
          <w:rFonts w:ascii="黑体" w:hAnsi="黑体" w:eastAsia="黑体" w:cs="黑体"/>
          <w:sz w:val="21"/>
          <w:szCs w:val="21"/>
        </w:rPr>
        <w:t>-</w:t>
      </w:r>
      <w:r>
        <w:rPr>
          <w:rFonts w:ascii="黑体" w:hAnsi="黑体" w:eastAsia="黑体" w:cs="黑体"/>
          <w:sz w:val="21"/>
          <w:szCs w:val="21"/>
        </w:rPr>
        <w:fldChar w:fldCharType="begin"/>
      </w:r>
      <w:r>
        <w:rPr>
          <w:rFonts w:ascii="黑体" w:hAnsi="黑体" w:eastAsia="黑体" w:cs="黑体"/>
          <w:sz w:val="21"/>
          <w:szCs w:val="21"/>
        </w:rPr>
        <w:instrText xml:space="preserve"> </w:instrText>
      </w:r>
      <w:r>
        <w:rPr>
          <w:rFonts w:hint="eastAsia" w:ascii="黑体" w:hAnsi="黑体" w:eastAsia="黑体" w:cs="黑体"/>
          <w:sz w:val="21"/>
          <w:szCs w:val="21"/>
        </w:rPr>
        <w:instrText xml:space="preserve">SEQ 表 \* ARABIC \s 1</w:instrText>
      </w:r>
      <w:r>
        <w:rPr>
          <w:rFonts w:ascii="黑体" w:hAnsi="黑体" w:eastAsia="黑体" w:cs="黑体"/>
          <w:sz w:val="21"/>
          <w:szCs w:val="21"/>
        </w:rPr>
        <w:instrText xml:space="preserve"> </w:instrText>
      </w:r>
      <w:r>
        <w:rPr>
          <w:rFonts w:ascii="黑体" w:hAnsi="黑体" w:eastAsia="黑体" w:cs="黑体"/>
          <w:sz w:val="21"/>
          <w:szCs w:val="21"/>
        </w:rPr>
        <w:fldChar w:fldCharType="separate"/>
      </w:r>
      <w:r>
        <w:rPr>
          <w:rFonts w:ascii="黑体" w:hAnsi="黑体" w:eastAsia="黑体" w:cs="黑体"/>
          <w:sz w:val="21"/>
          <w:szCs w:val="21"/>
        </w:rPr>
        <w:t>1</w:t>
      </w:r>
      <w:r>
        <w:rPr>
          <w:rFonts w:ascii="黑体" w:hAnsi="黑体" w:eastAsia="黑体" w:cs="黑体"/>
          <w:sz w:val="21"/>
          <w:szCs w:val="21"/>
        </w:rPr>
        <w:fldChar w:fldCharType="end"/>
      </w:r>
    </w:p>
    <w:tbl>
      <w:tblPr>
        <w:tblStyle w:val="33"/>
        <w:tblW w:w="0" w:type="auto"/>
        <w:tblInd w:w="1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0"/>
        <w:gridCol w:w="850"/>
        <w:gridCol w:w="2600"/>
        <w:gridCol w:w="940"/>
        <w:gridCol w:w="750"/>
        <w:gridCol w:w="1210"/>
        <w:gridCol w:w="880"/>
        <w:gridCol w:w="8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670" w:type="dxa"/>
            <w:vMerge w:val="restart"/>
            <w:vAlign w:val="center"/>
          </w:tcPr>
          <w:p>
            <w:pPr>
              <w:pStyle w:val="44"/>
              <w:rPr>
                <w:rFonts w:eastAsia="仿宋" w:cs="Times New Roman"/>
                <w:szCs w:val="21"/>
              </w:rPr>
            </w:pPr>
            <w:r>
              <w:rPr>
                <w:rFonts w:hint="eastAsia" w:eastAsia="仿宋" w:cs="Times New Roman"/>
                <w:szCs w:val="21"/>
              </w:rPr>
              <w:t>序号</w:t>
            </w:r>
          </w:p>
        </w:tc>
        <w:tc>
          <w:tcPr>
            <w:tcW w:w="3450" w:type="dxa"/>
            <w:gridSpan w:val="2"/>
            <w:vMerge w:val="restart"/>
            <w:vAlign w:val="center"/>
          </w:tcPr>
          <w:p>
            <w:pPr>
              <w:pStyle w:val="44"/>
              <w:rPr>
                <w:rFonts w:eastAsia="仿宋" w:cs="Times New Roman"/>
                <w:szCs w:val="21"/>
              </w:rPr>
            </w:pPr>
            <w:r>
              <w:rPr>
                <w:rFonts w:hint="eastAsia" w:eastAsia="仿宋" w:cs="Times New Roman"/>
                <w:szCs w:val="21"/>
              </w:rPr>
              <w:t>建设内容</w:t>
            </w:r>
          </w:p>
        </w:tc>
        <w:tc>
          <w:tcPr>
            <w:tcW w:w="1690" w:type="dxa"/>
            <w:gridSpan w:val="2"/>
            <w:vAlign w:val="center"/>
          </w:tcPr>
          <w:p>
            <w:pPr>
              <w:pStyle w:val="44"/>
              <w:rPr>
                <w:rFonts w:eastAsia="仿宋" w:cs="Times New Roman"/>
                <w:szCs w:val="21"/>
              </w:rPr>
            </w:pPr>
            <w:r>
              <w:rPr>
                <w:rFonts w:hint="eastAsia" w:eastAsia="仿宋" w:cs="Times New Roman"/>
                <w:szCs w:val="21"/>
              </w:rPr>
              <w:t>建设规模</w:t>
            </w:r>
          </w:p>
        </w:tc>
        <w:tc>
          <w:tcPr>
            <w:tcW w:w="1210" w:type="dxa"/>
            <w:vMerge w:val="restart"/>
            <w:vAlign w:val="center"/>
          </w:tcPr>
          <w:p>
            <w:pPr>
              <w:pStyle w:val="44"/>
              <w:rPr>
                <w:rFonts w:eastAsia="仿宋" w:cs="Times New Roman"/>
                <w:szCs w:val="21"/>
              </w:rPr>
            </w:pPr>
            <w:r>
              <w:rPr>
                <w:rFonts w:hint="eastAsia" w:eastAsia="仿宋" w:cs="Times New Roman"/>
                <w:szCs w:val="21"/>
              </w:rPr>
              <w:t>建设地点</w:t>
            </w:r>
          </w:p>
        </w:tc>
        <w:tc>
          <w:tcPr>
            <w:tcW w:w="1740" w:type="dxa"/>
            <w:gridSpan w:val="2"/>
            <w:vAlign w:val="center"/>
          </w:tcPr>
          <w:p>
            <w:pPr>
              <w:pStyle w:val="44"/>
              <w:rPr>
                <w:rFonts w:eastAsia="仿宋" w:cs="Times New Roman"/>
                <w:szCs w:val="21"/>
              </w:rPr>
            </w:pPr>
            <w:r>
              <w:rPr>
                <w:rFonts w:hint="eastAsia" w:eastAsia="仿宋" w:cs="Times New Roman"/>
                <w:szCs w:val="21"/>
              </w:rPr>
              <w:t>建设期限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670" w:type="dxa"/>
            <w:vMerge w:val="continue"/>
            <w:vAlign w:val="center"/>
          </w:tcPr>
          <w:p>
            <w:pPr>
              <w:pStyle w:val="44"/>
              <w:rPr>
                <w:rFonts w:eastAsia="仿宋" w:cs="Times New Roman"/>
                <w:szCs w:val="21"/>
              </w:rPr>
            </w:pPr>
          </w:p>
        </w:tc>
        <w:tc>
          <w:tcPr>
            <w:tcW w:w="3450" w:type="dxa"/>
            <w:gridSpan w:val="2"/>
            <w:vMerge w:val="continue"/>
            <w:vAlign w:val="center"/>
          </w:tcPr>
          <w:p>
            <w:pPr>
              <w:pStyle w:val="44"/>
              <w:rPr>
                <w:rFonts w:eastAsia="仿宋" w:cs="Times New Roman"/>
                <w:szCs w:val="21"/>
              </w:rPr>
            </w:pPr>
          </w:p>
        </w:tc>
        <w:tc>
          <w:tcPr>
            <w:tcW w:w="940" w:type="dxa"/>
            <w:vAlign w:val="center"/>
          </w:tcPr>
          <w:p>
            <w:pPr>
              <w:pStyle w:val="44"/>
              <w:rPr>
                <w:rFonts w:eastAsia="仿宋" w:cs="Times New Roman"/>
                <w:szCs w:val="21"/>
              </w:rPr>
            </w:pPr>
            <w:r>
              <w:rPr>
                <w:rFonts w:hint="eastAsia" w:eastAsia="仿宋" w:cs="Times New Roman"/>
                <w:szCs w:val="21"/>
              </w:rPr>
              <w:t>单位</w:t>
            </w:r>
          </w:p>
        </w:tc>
        <w:tc>
          <w:tcPr>
            <w:tcW w:w="750" w:type="dxa"/>
            <w:vAlign w:val="center"/>
          </w:tcPr>
          <w:p>
            <w:pPr>
              <w:pStyle w:val="44"/>
              <w:rPr>
                <w:rFonts w:eastAsia="仿宋" w:cs="Times New Roman"/>
                <w:szCs w:val="21"/>
              </w:rPr>
            </w:pPr>
            <w:r>
              <w:rPr>
                <w:rFonts w:hint="eastAsia" w:eastAsia="仿宋" w:cs="Times New Roman"/>
                <w:szCs w:val="21"/>
              </w:rPr>
              <w:t>数量</w:t>
            </w:r>
          </w:p>
        </w:tc>
        <w:tc>
          <w:tcPr>
            <w:tcW w:w="1210" w:type="dxa"/>
            <w:vMerge w:val="continue"/>
            <w:vAlign w:val="center"/>
          </w:tcPr>
          <w:p>
            <w:pPr>
              <w:pStyle w:val="44"/>
              <w:rPr>
                <w:rFonts w:eastAsia="仿宋" w:cs="Times New Roman"/>
                <w:szCs w:val="21"/>
              </w:rPr>
            </w:pPr>
          </w:p>
        </w:tc>
        <w:tc>
          <w:tcPr>
            <w:tcW w:w="880" w:type="dxa"/>
            <w:vAlign w:val="center"/>
          </w:tcPr>
          <w:p>
            <w:pPr>
              <w:pStyle w:val="44"/>
              <w:rPr>
                <w:rFonts w:eastAsia="仿宋" w:cs="Times New Roman"/>
                <w:szCs w:val="21"/>
              </w:rPr>
            </w:pPr>
            <w:r>
              <w:rPr>
                <w:rFonts w:hint="eastAsia" w:eastAsia="仿宋" w:cs="Times New Roman"/>
                <w:szCs w:val="21"/>
              </w:rPr>
              <w:t>前期</w:t>
            </w:r>
          </w:p>
        </w:tc>
        <w:tc>
          <w:tcPr>
            <w:tcW w:w="860" w:type="dxa"/>
            <w:vAlign w:val="center"/>
          </w:tcPr>
          <w:p>
            <w:pPr>
              <w:pStyle w:val="44"/>
              <w:rPr>
                <w:rFonts w:eastAsia="仿宋" w:cs="Times New Roman"/>
                <w:szCs w:val="21"/>
              </w:rPr>
            </w:pPr>
            <w:r>
              <w:rPr>
                <w:rFonts w:hint="eastAsia" w:eastAsia="仿宋" w:cs="Times New Roman"/>
                <w:szCs w:val="21"/>
              </w:rPr>
              <w:t>后期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0" w:type="dxa"/>
            <w:vMerge w:val="restart"/>
            <w:vAlign w:val="center"/>
          </w:tcPr>
          <w:p>
            <w:pPr>
              <w:pStyle w:val="45"/>
              <w:rPr>
                <w:rFonts w:eastAsia="仿宋" w:cs="Times New Roman"/>
                <w:sz w:val="21"/>
                <w:szCs w:val="21"/>
              </w:rPr>
            </w:pPr>
            <w:r>
              <w:rPr>
                <w:rFonts w:eastAsia="仿宋" w:cs="Times New Roman"/>
                <w:sz w:val="21"/>
                <w:szCs w:val="21"/>
              </w:rPr>
              <w:t>1</w:t>
            </w:r>
          </w:p>
        </w:tc>
        <w:tc>
          <w:tcPr>
            <w:tcW w:w="850" w:type="dxa"/>
            <w:vMerge w:val="restart"/>
            <w:vAlign w:val="center"/>
          </w:tcPr>
          <w:p>
            <w:pPr>
              <w:pStyle w:val="45"/>
              <w:rPr>
                <w:rFonts w:eastAsia="仿宋" w:cs="Times New Roman"/>
                <w:sz w:val="21"/>
                <w:szCs w:val="21"/>
              </w:rPr>
            </w:pPr>
            <w:r>
              <w:rPr>
                <w:rFonts w:hint="eastAsia" w:eastAsia="仿宋" w:cs="Times New Roman"/>
                <w:sz w:val="21"/>
                <w:szCs w:val="21"/>
              </w:rPr>
              <w:t>科研建设</w:t>
            </w:r>
          </w:p>
        </w:tc>
        <w:tc>
          <w:tcPr>
            <w:tcW w:w="2600" w:type="dxa"/>
            <w:vAlign w:val="center"/>
          </w:tcPr>
          <w:p>
            <w:pPr>
              <w:pStyle w:val="45"/>
              <w:rPr>
                <w:rFonts w:eastAsia="仿宋" w:cs="Times New Roman"/>
                <w:sz w:val="21"/>
                <w:szCs w:val="21"/>
              </w:rPr>
            </w:pPr>
            <w:r>
              <w:rPr>
                <w:rFonts w:hint="eastAsia" w:eastAsia="仿宋" w:cs="Times New Roman"/>
                <w:sz w:val="21"/>
                <w:szCs w:val="21"/>
              </w:rPr>
              <w:t>科研课题</w:t>
            </w:r>
          </w:p>
        </w:tc>
        <w:tc>
          <w:tcPr>
            <w:tcW w:w="940" w:type="dxa"/>
            <w:vAlign w:val="center"/>
          </w:tcPr>
          <w:p>
            <w:pPr>
              <w:pStyle w:val="45"/>
              <w:rPr>
                <w:rFonts w:eastAsia="仿宋" w:cs="Times New Roman"/>
                <w:sz w:val="21"/>
                <w:szCs w:val="21"/>
              </w:rPr>
            </w:pPr>
            <w:r>
              <w:rPr>
                <w:rFonts w:hint="eastAsia" w:eastAsia="仿宋" w:cs="Times New Roman"/>
                <w:sz w:val="21"/>
                <w:szCs w:val="21"/>
              </w:rPr>
              <w:t>个</w:t>
            </w:r>
          </w:p>
        </w:tc>
        <w:tc>
          <w:tcPr>
            <w:tcW w:w="750" w:type="dxa"/>
            <w:vAlign w:val="center"/>
          </w:tcPr>
          <w:p>
            <w:pPr>
              <w:pStyle w:val="45"/>
              <w:rPr>
                <w:rFonts w:eastAsia="仿宋" w:cs="Times New Roman"/>
                <w:sz w:val="21"/>
                <w:szCs w:val="21"/>
              </w:rPr>
            </w:pPr>
            <w:r>
              <w:rPr>
                <w:rFonts w:eastAsia="仿宋" w:cs="Times New Roman"/>
                <w:sz w:val="21"/>
                <w:szCs w:val="21"/>
              </w:rPr>
              <w:t>4</w:t>
            </w:r>
          </w:p>
        </w:tc>
        <w:tc>
          <w:tcPr>
            <w:tcW w:w="1210" w:type="dxa"/>
            <w:vAlign w:val="center"/>
          </w:tcPr>
          <w:p>
            <w:pPr>
              <w:pStyle w:val="45"/>
              <w:rPr>
                <w:rFonts w:eastAsia="仿宋" w:cs="Times New Roman"/>
                <w:sz w:val="21"/>
                <w:szCs w:val="21"/>
              </w:rPr>
            </w:pPr>
          </w:p>
        </w:tc>
        <w:tc>
          <w:tcPr>
            <w:tcW w:w="880" w:type="dxa"/>
            <w:vAlign w:val="center"/>
          </w:tcPr>
          <w:p>
            <w:pPr>
              <w:pStyle w:val="45"/>
              <w:rPr>
                <w:rFonts w:eastAsia="仿宋" w:cs="Times New Roman"/>
                <w:sz w:val="21"/>
                <w:szCs w:val="21"/>
              </w:rPr>
            </w:pPr>
            <w:r>
              <w:rPr>
                <w:rFonts w:hint="eastAsia" w:eastAsia="仿宋" w:cs="Times New Roman"/>
                <w:sz w:val="21"/>
                <w:szCs w:val="21"/>
              </w:rPr>
              <w:t>√</w:t>
            </w:r>
          </w:p>
        </w:tc>
        <w:tc>
          <w:tcPr>
            <w:tcW w:w="86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0" w:type="dxa"/>
            <w:vMerge w:val="continue"/>
            <w:vAlign w:val="center"/>
          </w:tcPr>
          <w:p>
            <w:pPr>
              <w:pStyle w:val="45"/>
              <w:rPr>
                <w:rFonts w:eastAsia="仿宋" w:cs="Times New Roman"/>
                <w:sz w:val="21"/>
                <w:szCs w:val="21"/>
              </w:rPr>
            </w:pPr>
          </w:p>
        </w:tc>
        <w:tc>
          <w:tcPr>
            <w:tcW w:w="850" w:type="dxa"/>
            <w:vMerge w:val="continue"/>
            <w:vAlign w:val="center"/>
          </w:tcPr>
          <w:p>
            <w:pPr>
              <w:pStyle w:val="45"/>
              <w:rPr>
                <w:rFonts w:eastAsia="仿宋" w:cs="Times New Roman"/>
                <w:sz w:val="21"/>
                <w:szCs w:val="21"/>
              </w:rPr>
            </w:pPr>
          </w:p>
        </w:tc>
        <w:tc>
          <w:tcPr>
            <w:tcW w:w="2600" w:type="dxa"/>
            <w:vAlign w:val="center"/>
          </w:tcPr>
          <w:p>
            <w:pPr>
              <w:pStyle w:val="45"/>
              <w:rPr>
                <w:rFonts w:eastAsia="仿宋" w:cs="Times New Roman"/>
                <w:sz w:val="21"/>
                <w:szCs w:val="21"/>
              </w:rPr>
            </w:pPr>
            <w:r>
              <w:rPr>
                <w:rFonts w:hint="eastAsia" w:eastAsia="仿宋" w:cs="Times New Roman"/>
                <w:sz w:val="21"/>
                <w:szCs w:val="21"/>
              </w:rPr>
              <w:t>国内合作考察</w:t>
            </w:r>
          </w:p>
        </w:tc>
        <w:tc>
          <w:tcPr>
            <w:tcW w:w="940" w:type="dxa"/>
            <w:vAlign w:val="center"/>
          </w:tcPr>
          <w:p>
            <w:pPr>
              <w:pStyle w:val="45"/>
              <w:rPr>
                <w:rFonts w:eastAsia="仿宋" w:cs="Times New Roman"/>
                <w:sz w:val="21"/>
                <w:szCs w:val="21"/>
              </w:rPr>
            </w:pPr>
            <w:r>
              <w:rPr>
                <w:rFonts w:hint="eastAsia" w:eastAsia="仿宋" w:cs="Times New Roman"/>
                <w:sz w:val="21"/>
                <w:szCs w:val="21"/>
              </w:rPr>
              <w:t>次</w:t>
            </w:r>
          </w:p>
        </w:tc>
        <w:tc>
          <w:tcPr>
            <w:tcW w:w="750" w:type="dxa"/>
            <w:vAlign w:val="center"/>
          </w:tcPr>
          <w:p>
            <w:pPr>
              <w:pStyle w:val="45"/>
              <w:rPr>
                <w:rFonts w:eastAsia="仿宋" w:cs="Times New Roman"/>
                <w:sz w:val="21"/>
                <w:szCs w:val="21"/>
              </w:rPr>
            </w:pPr>
            <w:r>
              <w:rPr>
                <w:rFonts w:hint="eastAsia" w:eastAsia="仿宋" w:cs="Times New Roman"/>
                <w:sz w:val="21"/>
                <w:szCs w:val="21"/>
              </w:rPr>
              <w:t>8</w:t>
            </w:r>
          </w:p>
        </w:tc>
        <w:tc>
          <w:tcPr>
            <w:tcW w:w="1210" w:type="dxa"/>
            <w:vAlign w:val="center"/>
          </w:tcPr>
          <w:p>
            <w:pPr>
              <w:pStyle w:val="45"/>
              <w:rPr>
                <w:rFonts w:eastAsia="仿宋" w:cs="Times New Roman"/>
                <w:sz w:val="21"/>
                <w:szCs w:val="21"/>
              </w:rPr>
            </w:pPr>
          </w:p>
        </w:tc>
        <w:tc>
          <w:tcPr>
            <w:tcW w:w="880" w:type="dxa"/>
            <w:vAlign w:val="center"/>
          </w:tcPr>
          <w:p>
            <w:pPr>
              <w:pStyle w:val="45"/>
              <w:rPr>
                <w:rFonts w:eastAsia="仿宋" w:cs="Times New Roman"/>
                <w:sz w:val="21"/>
                <w:szCs w:val="21"/>
              </w:rPr>
            </w:pPr>
            <w:r>
              <w:rPr>
                <w:rFonts w:hint="eastAsia" w:eastAsia="仿宋" w:cs="Times New Roman"/>
                <w:sz w:val="21"/>
                <w:szCs w:val="21"/>
              </w:rPr>
              <w:t>√</w:t>
            </w:r>
          </w:p>
        </w:tc>
        <w:tc>
          <w:tcPr>
            <w:tcW w:w="86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0" w:type="dxa"/>
            <w:vMerge w:val="continue"/>
            <w:vAlign w:val="center"/>
          </w:tcPr>
          <w:p>
            <w:pPr>
              <w:pStyle w:val="45"/>
              <w:rPr>
                <w:rFonts w:eastAsia="仿宋" w:cs="Times New Roman"/>
                <w:sz w:val="21"/>
                <w:szCs w:val="21"/>
              </w:rPr>
            </w:pPr>
          </w:p>
        </w:tc>
        <w:tc>
          <w:tcPr>
            <w:tcW w:w="850" w:type="dxa"/>
            <w:vMerge w:val="continue"/>
            <w:vAlign w:val="center"/>
          </w:tcPr>
          <w:p>
            <w:pPr>
              <w:pStyle w:val="45"/>
              <w:rPr>
                <w:rFonts w:eastAsia="仿宋" w:cs="Times New Roman"/>
                <w:sz w:val="21"/>
                <w:szCs w:val="21"/>
              </w:rPr>
            </w:pPr>
          </w:p>
        </w:tc>
        <w:tc>
          <w:tcPr>
            <w:tcW w:w="2600" w:type="dxa"/>
            <w:vAlign w:val="center"/>
          </w:tcPr>
          <w:p>
            <w:pPr>
              <w:pStyle w:val="45"/>
              <w:rPr>
                <w:rFonts w:eastAsia="仿宋" w:cs="Times New Roman"/>
                <w:sz w:val="21"/>
                <w:szCs w:val="21"/>
              </w:rPr>
            </w:pPr>
            <w:r>
              <w:rPr>
                <w:rFonts w:hint="eastAsia" w:eastAsia="仿宋" w:cs="Times New Roman"/>
                <w:sz w:val="21"/>
                <w:szCs w:val="21"/>
              </w:rPr>
              <w:t>国内学习考察</w:t>
            </w:r>
          </w:p>
        </w:tc>
        <w:tc>
          <w:tcPr>
            <w:tcW w:w="940" w:type="dxa"/>
            <w:vAlign w:val="center"/>
          </w:tcPr>
          <w:p>
            <w:pPr>
              <w:pStyle w:val="45"/>
              <w:rPr>
                <w:rFonts w:eastAsia="仿宋" w:cs="Times New Roman"/>
                <w:sz w:val="21"/>
                <w:szCs w:val="21"/>
              </w:rPr>
            </w:pPr>
            <w:r>
              <w:rPr>
                <w:rFonts w:hint="eastAsia" w:eastAsia="仿宋" w:cs="Times New Roman"/>
                <w:sz w:val="21"/>
                <w:szCs w:val="21"/>
              </w:rPr>
              <w:t>次</w:t>
            </w:r>
          </w:p>
        </w:tc>
        <w:tc>
          <w:tcPr>
            <w:tcW w:w="750" w:type="dxa"/>
            <w:vAlign w:val="center"/>
          </w:tcPr>
          <w:p>
            <w:pPr>
              <w:pStyle w:val="45"/>
              <w:rPr>
                <w:rFonts w:eastAsia="仿宋" w:cs="Times New Roman"/>
                <w:sz w:val="21"/>
                <w:szCs w:val="21"/>
              </w:rPr>
            </w:pPr>
            <w:r>
              <w:rPr>
                <w:rFonts w:hint="eastAsia" w:eastAsia="仿宋" w:cs="Times New Roman"/>
                <w:sz w:val="21"/>
                <w:szCs w:val="21"/>
              </w:rPr>
              <w:t>8</w:t>
            </w:r>
          </w:p>
        </w:tc>
        <w:tc>
          <w:tcPr>
            <w:tcW w:w="1210" w:type="dxa"/>
            <w:vAlign w:val="center"/>
          </w:tcPr>
          <w:p>
            <w:pPr>
              <w:pStyle w:val="45"/>
              <w:rPr>
                <w:rFonts w:eastAsia="仿宋" w:cs="Times New Roman"/>
                <w:sz w:val="21"/>
                <w:szCs w:val="21"/>
              </w:rPr>
            </w:pPr>
          </w:p>
        </w:tc>
        <w:tc>
          <w:tcPr>
            <w:tcW w:w="880" w:type="dxa"/>
            <w:vAlign w:val="center"/>
          </w:tcPr>
          <w:p>
            <w:pPr>
              <w:pStyle w:val="45"/>
              <w:rPr>
                <w:rFonts w:eastAsia="仿宋" w:cs="Times New Roman"/>
                <w:sz w:val="21"/>
                <w:szCs w:val="21"/>
              </w:rPr>
            </w:pPr>
            <w:r>
              <w:rPr>
                <w:rFonts w:hint="eastAsia" w:eastAsia="仿宋" w:cs="Times New Roman"/>
                <w:sz w:val="21"/>
                <w:szCs w:val="21"/>
              </w:rPr>
              <w:t>√</w:t>
            </w:r>
          </w:p>
        </w:tc>
        <w:tc>
          <w:tcPr>
            <w:tcW w:w="86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0" w:type="dxa"/>
            <w:vMerge w:val="continue"/>
            <w:vAlign w:val="center"/>
          </w:tcPr>
          <w:p>
            <w:pPr>
              <w:pStyle w:val="45"/>
              <w:rPr>
                <w:rFonts w:eastAsia="仿宋" w:cs="Times New Roman"/>
                <w:sz w:val="21"/>
                <w:szCs w:val="21"/>
              </w:rPr>
            </w:pPr>
          </w:p>
        </w:tc>
        <w:tc>
          <w:tcPr>
            <w:tcW w:w="850" w:type="dxa"/>
            <w:vMerge w:val="continue"/>
            <w:vAlign w:val="center"/>
          </w:tcPr>
          <w:p>
            <w:pPr>
              <w:pStyle w:val="45"/>
              <w:rPr>
                <w:rFonts w:eastAsia="仿宋" w:cs="Times New Roman"/>
                <w:sz w:val="21"/>
                <w:szCs w:val="21"/>
              </w:rPr>
            </w:pPr>
          </w:p>
        </w:tc>
        <w:tc>
          <w:tcPr>
            <w:tcW w:w="2600" w:type="dxa"/>
            <w:vAlign w:val="center"/>
          </w:tcPr>
          <w:p>
            <w:pPr>
              <w:pStyle w:val="45"/>
              <w:rPr>
                <w:rFonts w:eastAsia="仿宋" w:cs="Times New Roman"/>
                <w:sz w:val="21"/>
                <w:szCs w:val="21"/>
              </w:rPr>
            </w:pPr>
            <w:r>
              <w:rPr>
                <w:rFonts w:hint="eastAsia" w:eastAsia="仿宋" w:cs="Times New Roman"/>
                <w:sz w:val="21"/>
                <w:szCs w:val="21"/>
              </w:rPr>
              <w:t>培训</w:t>
            </w:r>
          </w:p>
        </w:tc>
        <w:tc>
          <w:tcPr>
            <w:tcW w:w="940" w:type="dxa"/>
            <w:vAlign w:val="center"/>
          </w:tcPr>
          <w:p>
            <w:pPr>
              <w:pStyle w:val="45"/>
              <w:rPr>
                <w:rFonts w:eastAsia="仿宋" w:cs="Times New Roman"/>
                <w:sz w:val="21"/>
                <w:szCs w:val="21"/>
              </w:rPr>
            </w:pPr>
            <w:r>
              <w:rPr>
                <w:rFonts w:hint="eastAsia" w:eastAsia="仿宋" w:cs="Times New Roman"/>
                <w:sz w:val="21"/>
                <w:szCs w:val="21"/>
              </w:rPr>
              <w:t>次</w:t>
            </w:r>
          </w:p>
        </w:tc>
        <w:tc>
          <w:tcPr>
            <w:tcW w:w="750" w:type="dxa"/>
            <w:vAlign w:val="center"/>
          </w:tcPr>
          <w:p>
            <w:pPr>
              <w:pStyle w:val="45"/>
              <w:rPr>
                <w:rFonts w:eastAsia="仿宋" w:cs="Times New Roman"/>
                <w:sz w:val="21"/>
                <w:szCs w:val="21"/>
              </w:rPr>
            </w:pPr>
            <w:r>
              <w:rPr>
                <w:rFonts w:hint="eastAsia" w:eastAsia="仿宋" w:cs="Times New Roman"/>
                <w:sz w:val="21"/>
                <w:szCs w:val="21"/>
              </w:rPr>
              <w:t>8</w:t>
            </w:r>
          </w:p>
        </w:tc>
        <w:tc>
          <w:tcPr>
            <w:tcW w:w="1210" w:type="dxa"/>
            <w:vAlign w:val="center"/>
          </w:tcPr>
          <w:p>
            <w:pPr>
              <w:pStyle w:val="45"/>
              <w:rPr>
                <w:rFonts w:eastAsia="仿宋" w:cs="Times New Roman"/>
                <w:sz w:val="21"/>
                <w:szCs w:val="21"/>
              </w:rPr>
            </w:pPr>
          </w:p>
        </w:tc>
        <w:tc>
          <w:tcPr>
            <w:tcW w:w="880" w:type="dxa"/>
            <w:vAlign w:val="center"/>
          </w:tcPr>
          <w:p>
            <w:pPr>
              <w:pStyle w:val="45"/>
              <w:rPr>
                <w:rFonts w:eastAsia="仿宋" w:cs="Times New Roman"/>
                <w:sz w:val="21"/>
                <w:szCs w:val="21"/>
              </w:rPr>
            </w:pPr>
            <w:r>
              <w:rPr>
                <w:rFonts w:hint="eastAsia" w:eastAsia="仿宋" w:cs="Times New Roman"/>
                <w:sz w:val="21"/>
                <w:szCs w:val="21"/>
              </w:rPr>
              <w:t>√</w:t>
            </w:r>
          </w:p>
        </w:tc>
        <w:tc>
          <w:tcPr>
            <w:tcW w:w="86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0" w:type="dxa"/>
            <w:vMerge w:val="restart"/>
            <w:vAlign w:val="center"/>
          </w:tcPr>
          <w:p>
            <w:pPr>
              <w:pStyle w:val="45"/>
              <w:rPr>
                <w:rFonts w:eastAsia="仿宋" w:cs="Times New Roman"/>
                <w:sz w:val="21"/>
                <w:szCs w:val="21"/>
              </w:rPr>
            </w:pPr>
            <w:r>
              <w:rPr>
                <w:rFonts w:eastAsia="仿宋" w:cs="Times New Roman"/>
                <w:sz w:val="21"/>
                <w:szCs w:val="21"/>
              </w:rPr>
              <w:t>2</w:t>
            </w:r>
          </w:p>
        </w:tc>
        <w:tc>
          <w:tcPr>
            <w:tcW w:w="850" w:type="dxa"/>
            <w:vMerge w:val="restart"/>
            <w:vAlign w:val="center"/>
          </w:tcPr>
          <w:p>
            <w:pPr>
              <w:pStyle w:val="45"/>
              <w:rPr>
                <w:rFonts w:eastAsia="仿宋" w:cs="Times New Roman"/>
                <w:sz w:val="21"/>
                <w:szCs w:val="21"/>
              </w:rPr>
            </w:pPr>
            <w:r>
              <w:rPr>
                <w:rFonts w:hint="eastAsia" w:eastAsia="仿宋" w:cs="Times New Roman"/>
                <w:sz w:val="21"/>
                <w:szCs w:val="21"/>
              </w:rPr>
              <w:t>监测规划</w:t>
            </w:r>
          </w:p>
        </w:tc>
        <w:tc>
          <w:tcPr>
            <w:tcW w:w="2600" w:type="dxa"/>
            <w:vAlign w:val="center"/>
          </w:tcPr>
          <w:p>
            <w:pPr>
              <w:pStyle w:val="45"/>
              <w:rPr>
                <w:rFonts w:eastAsia="仿宋" w:cs="Times New Roman"/>
                <w:sz w:val="21"/>
                <w:szCs w:val="21"/>
              </w:rPr>
            </w:pPr>
            <w:r>
              <w:rPr>
                <w:rFonts w:hint="eastAsia" w:eastAsia="仿宋" w:cs="Times New Roman"/>
                <w:sz w:val="21"/>
                <w:szCs w:val="21"/>
              </w:rPr>
              <w:t>湿地科研监测中心</w:t>
            </w:r>
          </w:p>
        </w:tc>
        <w:tc>
          <w:tcPr>
            <w:tcW w:w="940" w:type="dxa"/>
            <w:vAlign w:val="center"/>
          </w:tcPr>
          <w:p>
            <w:pPr>
              <w:pStyle w:val="45"/>
              <w:rPr>
                <w:rFonts w:eastAsia="仿宋" w:cs="Times New Roman"/>
                <w:sz w:val="21"/>
                <w:szCs w:val="21"/>
              </w:rPr>
            </w:pPr>
            <w:r>
              <w:rPr>
                <w:rFonts w:hint="eastAsia" w:eastAsia="仿宋" w:cs="Times New Roman"/>
                <w:sz w:val="21"/>
                <w:szCs w:val="21"/>
              </w:rPr>
              <w:t>平方米</w:t>
            </w:r>
          </w:p>
        </w:tc>
        <w:tc>
          <w:tcPr>
            <w:tcW w:w="750" w:type="dxa"/>
            <w:vAlign w:val="center"/>
          </w:tcPr>
          <w:p>
            <w:pPr>
              <w:pStyle w:val="45"/>
              <w:rPr>
                <w:rFonts w:eastAsia="仿宋" w:cs="Times New Roman"/>
                <w:sz w:val="21"/>
                <w:szCs w:val="21"/>
              </w:rPr>
            </w:pPr>
            <w:r>
              <w:rPr>
                <w:rFonts w:eastAsia="仿宋" w:cs="Times New Roman"/>
                <w:sz w:val="21"/>
                <w:szCs w:val="21"/>
              </w:rPr>
              <w:t>800</w:t>
            </w:r>
          </w:p>
        </w:tc>
        <w:tc>
          <w:tcPr>
            <w:tcW w:w="1210" w:type="dxa"/>
            <w:vAlign w:val="center"/>
          </w:tcPr>
          <w:p>
            <w:pPr>
              <w:pStyle w:val="45"/>
              <w:rPr>
                <w:rFonts w:eastAsia="仿宋" w:cs="Times New Roman"/>
                <w:sz w:val="21"/>
                <w:szCs w:val="21"/>
              </w:rPr>
            </w:pPr>
            <w:r>
              <w:rPr>
                <w:rFonts w:hint="eastAsia" w:eastAsia="仿宋" w:cs="Times New Roman"/>
                <w:sz w:val="21"/>
                <w:szCs w:val="21"/>
              </w:rPr>
              <w:t>彭家堡</w:t>
            </w:r>
          </w:p>
        </w:tc>
        <w:tc>
          <w:tcPr>
            <w:tcW w:w="880" w:type="dxa"/>
            <w:vAlign w:val="center"/>
          </w:tcPr>
          <w:p>
            <w:pPr>
              <w:pStyle w:val="45"/>
              <w:rPr>
                <w:rFonts w:eastAsia="仿宋" w:cs="Times New Roman"/>
                <w:sz w:val="21"/>
                <w:szCs w:val="21"/>
              </w:rPr>
            </w:pPr>
            <w:r>
              <w:rPr>
                <w:rFonts w:hint="eastAsia" w:eastAsia="仿宋" w:cs="Times New Roman"/>
                <w:sz w:val="21"/>
                <w:szCs w:val="21"/>
              </w:rPr>
              <w:t>√</w:t>
            </w:r>
          </w:p>
        </w:tc>
        <w:tc>
          <w:tcPr>
            <w:tcW w:w="860"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0" w:type="dxa"/>
            <w:vMerge w:val="continue"/>
            <w:vAlign w:val="center"/>
          </w:tcPr>
          <w:p>
            <w:pPr>
              <w:pStyle w:val="45"/>
              <w:rPr>
                <w:rFonts w:eastAsia="仿宋" w:cs="Times New Roman"/>
                <w:sz w:val="21"/>
                <w:szCs w:val="21"/>
              </w:rPr>
            </w:pPr>
          </w:p>
        </w:tc>
        <w:tc>
          <w:tcPr>
            <w:tcW w:w="850" w:type="dxa"/>
            <w:vMerge w:val="continue"/>
            <w:vAlign w:val="center"/>
          </w:tcPr>
          <w:p>
            <w:pPr>
              <w:pStyle w:val="45"/>
              <w:rPr>
                <w:rFonts w:eastAsia="仿宋" w:cs="Times New Roman"/>
                <w:sz w:val="21"/>
                <w:szCs w:val="21"/>
              </w:rPr>
            </w:pPr>
          </w:p>
        </w:tc>
        <w:tc>
          <w:tcPr>
            <w:tcW w:w="2600" w:type="dxa"/>
            <w:vAlign w:val="center"/>
          </w:tcPr>
          <w:p>
            <w:pPr>
              <w:pStyle w:val="45"/>
              <w:rPr>
                <w:rFonts w:eastAsia="仿宋" w:cs="Times New Roman"/>
                <w:sz w:val="21"/>
                <w:szCs w:val="21"/>
              </w:rPr>
            </w:pPr>
            <w:r>
              <w:rPr>
                <w:rFonts w:hint="eastAsia" w:eastAsia="仿宋" w:cs="Times New Roman"/>
                <w:sz w:val="21"/>
                <w:szCs w:val="21"/>
              </w:rPr>
              <w:t>湿地科研监测中心设备</w:t>
            </w:r>
          </w:p>
        </w:tc>
        <w:tc>
          <w:tcPr>
            <w:tcW w:w="940" w:type="dxa"/>
            <w:vAlign w:val="center"/>
          </w:tcPr>
          <w:p>
            <w:pPr>
              <w:pStyle w:val="45"/>
              <w:rPr>
                <w:rFonts w:eastAsia="仿宋" w:cs="Times New Roman"/>
                <w:sz w:val="21"/>
                <w:szCs w:val="21"/>
              </w:rPr>
            </w:pPr>
            <w:r>
              <w:rPr>
                <w:rFonts w:hint="eastAsia" w:eastAsia="仿宋" w:cs="Times New Roman"/>
                <w:sz w:val="21"/>
                <w:szCs w:val="21"/>
              </w:rPr>
              <w:t>套</w:t>
            </w:r>
          </w:p>
        </w:tc>
        <w:tc>
          <w:tcPr>
            <w:tcW w:w="750" w:type="dxa"/>
            <w:vAlign w:val="center"/>
          </w:tcPr>
          <w:p>
            <w:pPr>
              <w:pStyle w:val="45"/>
              <w:rPr>
                <w:rFonts w:eastAsia="仿宋" w:cs="Times New Roman"/>
                <w:sz w:val="21"/>
                <w:szCs w:val="21"/>
              </w:rPr>
            </w:pPr>
            <w:r>
              <w:rPr>
                <w:rFonts w:eastAsia="仿宋" w:cs="Times New Roman"/>
                <w:sz w:val="21"/>
                <w:szCs w:val="21"/>
              </w:rPr>
              <w:t>1</w:t>
            </w:r>
          </w:p>
        </w:tc>
        <w:tc>
          <w:tcPr>
            <w:tcW w:w="1210" w:type="dxa"/>
            <w:vAlign w:val="center"/>
          </w:tcPr>
          <w:p>
            <w:pPr>
              <w:pStyle w:val="45"/>
              <w:rPr>
                <w:rFonts w:eastAsia="仿宋" w:cs="Times New Roman"/>
                <w:sz w:val="21"/>
                <w:szCs w:val="21"/>
              </w:rPr>
            </w:pPr>
          </w:p>
        </w:tc>
        <w:tc>
          <w:tcPr>
            <w:tcW w:w="880" w:type="dxa"/>
            <w:vAlign w:val="center"/>
          </w:tcPr>
          <w:p>
            <w:pPr>
              <w:pStyle w:val="45"/>
              <w:rPr>
                <w:rFonts w:eastAsia="仿宋" w:cs="Times New Roman"/>
                <w:sz w:val="21"/>
                <w:szCs w:val="21"/>
              </w:rPr>
            </w:pPr>
            <w:r>
              <w:rPr>
                <w:rFonts w:hint="eastAsia" w:eastAsia="仿宋" w:cs="Times New Roman"/>
                <w:sz w:val="21"/>
                <w:szCs w:val="21"/>
              </w:rPr>
              <w:t>√</w:t>
            </w:r>
          </w:p>
        </w:tc>
        <w:tc>
          <w:tcPr>
            <w:tcW w:w="860"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0" w:type="dxa"/>
            <w:vMerge w:val="continue"/>
            <w:vAlign w:val="center"/>
          </w:tcPr>
          <w:p>
            <w:pPr>
              <w:pStyle w:val="45"/>
              <w:rPr>
                <w:rFonts w:eastAsia="仿宋" w:cs="Times New Roman"/>
                <w:sz w:val="21"/>
                <w:szCs w:val="21"/>
              </w:rPr>
            </w:pPr>
          </w:p>
        </w:tc>
        <w:tc>
          <w:tcPr>
            <w:tcW w:w="850" w:type="dxa"/>
            <w:vMerge w:val="continue"/>
            <w:vAlign w:val="center"/>
          </w:tcPr>
          <w:p>
            <w:pPr>
              <w:pStyle w:val="45"/>
              <w:rPr>
                <w:rFonts w:eastAsia="仿宋" w:cs="Times New Roman"/>
                <w:sz w:val="21"/>
                <w:szCs w:val="21"/>
              </w:rPr>
            </w:pPr>
          </w:p>
        </w:tc>
        <w:tc>
          <w:tcPr>
            <w:tcW w:w="2600" w:type="dxa"/>
            <w:vAlign w:val="center"/>
          </w:tcPr>
          <w:p>
            <w:pPr>
              <w:pStyle w:val="45"/>
              <w:rPr>
                <w:rFonts w:eastAsia="仿宋" w:cs="Times New Roman"/>
                <w:sz w:val="21"/>
                <w:szCs w:val="21"/>
              </w:rPr>
            </w:pPr>
            <w:r>
              <w:rPr>
                <w:rFonts w:hint="eastAsia" w:eastAsia="仿宋" w:cs="Times New Roman"/>
                <w:sz w:val="21"/>
                <w:szCs w:val="21"/>
              </w:rPr>
              <w:t>鱼类资源监测研究中心</w:t>
            </w:r>
          </w:p>
        </w:tc>
        <w:tc>
          <w:tcPr>
            <w:tcW w:w="940" w:type="dxa"/>
            <w:vAlign w:val="center"/>
          </w:tcPr>
          <w:p>
            <w:pPr>
              <w:pStyle w:val="45"/>
              <w:rPr>
                <w:rFonts w:eastAsia="仿宋" w:cs="Times New Roman"/>
                <w:sz w:val="21"/>
                <w:szCs w:val="21"/>
              </w:rPr>
            </w:pPr>
            <w:r>
              <w:rPr>
                <w:rFonts w:eastAsia="仿宋" w:cs="Times New Roman"/>
                <w:sz w:val="21"/>
                <w:szCs w:val="21"/>
              </w:rPr>
              <w:t>平方米</w:t>
            </w:r>
          </w:p>
        </w:tc>
        <w:tc>
          <w:tcPr>
            <w:tcW w:w="750" w:type="dxa"/>
            <w:vAlign w:val="center"/>
          </w:tcPr>
          <w:p>
            <w:pPr>
              <w:pStyle w:val="45"/>
              <w:rPr>
                <w:rFonts w:eastAsia="仿宋" w:cs="Times New Roman"/>
                <w:sz w:val="21"/>
                <w:szCs w:val="21"/>
              </w:rPr>
            </w:pPr>
            <w:r>
              <w:rPr>
                <w:rFonts w:hint="eastAsia" w:eastAsia="仿宋" w:cs="Times New Roman"/>
                <w:sz w:val="21"/>
                <w:szCs w:val="21"/>
              </w:rPr>
              <w:t>10</w:t>
            </w:r>
            <w:r>
              <w:rPr>
                <w:rFonts w:eastAsia="仿宋" w:cs="Times New Roman"/>
                <w:sz w:val="21"/>
                <w:szCs w:val="21"/>
              </w:rPr>
              <w:t>00</w:t>
            </w:r>
          </w:p>
        </w:tc>
        <w:tc>
          <w:tcPr>
            <w:tcW w:w="1210" w:type="dxa"/>
            <w:vAlign w:val="center"/>
          </w:tcPr>
          <w:p>
            <w:pPr>
              <w:pStyle w:val="45"/>
              <w:rPr>
                <w:rFonts w:eastAsia="仿宋" w:cs="Times New Roman"/>
                <w:sz w:val="21"/>
                <w:szCs w:val="21"/>
              </w:rPr>
            </w:pPr>
            <w:r>
              <w:rPr>
                <w:rFonts w:eastAsia="仿宋" w:cs="Times New Roman"/>
                <w:sz w:val="21"/>
                <w:szCs w:val="21"/>
              </w:rPr>
              <w:t>水碾溪村</w:t>
            </w:r>
          </w:p>
        </w:tc>
        <w:tc>
          <w:tcPr>
            <w:tcW w:w="880" w:type="dxa"/>
            <w:vAlign w:val="center"/>
          </w:tcPr>
          <w:p>
            <w:pPr>
              <w:pStyle w:val="45"/>
              <w:rPr>
                <w:rFonts w:eastAsia="仿宋" w:cs="Times New Roman"/>
                <w:sz w:val="21"/>
                <w:szCs w:val="21"/>
              </w:rPr>
            </w:pPr>
            <w:r>
              <w:rPr>
                <w:rFonts w:hint="eastAsia" w:eastAsia="仿宋" w:cs="Times New Roman"/>
                <w:sz w:val="21"/>
                <w:szCs w:val="21"/>
              </w:rPr>
              <w:t>√</w:t>
            </w:r>
          </w:p>
        </w:tc>
        <w:tc>
          <w:tcPr>
            <w:tcW w:w="860"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0" w:type="dxa"/>
            <w:vMerge w:val="continue"/>
            <w:vAlign w:val="center"/>
          </w:tcPr>
          <w:p>
            <w:pPr>
              <w:pStyle w:val="45"/>
              <w:rPr>
                <w:rFonts w:eastAsia="仿宋" w:cs="Times New Roman"/>
                <w:sz w:val="21"/>
                <w:szCs w:val="21"/>
              </w:rPr>
            </w:pPr>
          </w:p>
        </w:tc>
        <w:tc>
          <w:tcPr>
            <w:tcW w:w="850" w:type="dxa"/>
            <w:vMerge w:val="continue"/>
            <w:vAlign w:val="center"/>
          </w:tcPr>
          <w:p>
            <w:pPr>
              <w:pStyle w:val="45"/>
              <w:rPr>
                <w:rFonts w:eastAsia="仿宋" w:cs="Times New Roman"/>
                <w:sz w:val="21"/>
                <w:szCs w:val="21"/>
              </w:rPr>
            </w:pPr>
          </w:p>
        </w:tc>
        <w:tc>
          <w:tcPr>
            <w:tcW w:w="2600" w:type="dxa"/>
            <w:vAlign w:val="center"/>
          </w:tcPr>
          <w:p>
            <w:pPr>
              <w:pStyle w:val="45"/>
              <w:rPr>
                <w:rFonts w:eastAsia="仿宋" w:cs="Times New Roman"/>
                <w:sz w:val="21"/>
                <w:szCs w:val="21"/>
              </w:rPr>
            </w:pPr>
            <w:r>
              <w:rPr>
                <w:rFonts w:hint="eastAsia" w:eastAsia="仿宋" w:cs="Times New Roman"/>
                <w:sz w:val="21"/>
                <w:szCs w:val="21"/>
              </w:rPr>
              <w:t>研究设备</w:t>
            </w:r>
          </w:p>
        </w:tc>
        <w:tc>
          <w:tcPr>
            <w:tcW w:w="940" w:type="dxa"/>
            <w:vAlign w:val="center"/>
          </w:tcPr>
          <w:p>
            <w:pPr>
              <w:pStyle w:val="45"/>
              <w:rPr>
                <w:rFonts w:eastAsia="仿宋" w:cs="Times New Roman"/>
                <w:sz w:val="21"/>
                <w:szCs w:val="21"/>
              </w:rPr>
            </w:pPr>
            <w:r>
              <w:rPr>
                <w:rFonts w:hint="eastAsia" w:eastAsia="仿宋" w:cs="Times New Roman"/>
                <w:sz w:val="21"/>
                <w:szCs w:val="21"/>
              </w:rPr>
              <w:t>套</w:t>
            </w:r>
          </w:p>
        </w:tc>
        <w:tc>
          <w:tcPr>
            <w:tcW w:w="750" w:type="dxa"/>
            <w:vAlign w:val="center"/>
          </w:tcPr>
          <w:p>
            <w:pPr>
              <w:pStyle w:val="45"/>
              <w:rPr>
                <w:rFonts w:eastAsia="仿宋" w:cs="Times New Roman"/>
                <w:sz w:val="21"/>
                <w:szCs w:val="21"/>
              </w:rPr>
            </w:pPr>
            <w:r>
              <w:rPr>
                <w:rFonts w:eastAsia="仿宋" w:cs="Times New Roman"/>
                <w:sz w:val="21"/>
                <w:szCs w:val="21"/>
              </w:rPr>
              <w:t>1</w:t>
            </w:r>
          </w:p>
        </w:tc>
        <w:tc>
          <w:tcPr>
            <w:tcW w:w="1210" w:type="dxa"/>
            <w:vAlign w:val="center"/>
          </w:tcPr>
          <w:p>
            <w:pPr>
              <w:pStyle w:val="45"/>
              <w:rPr>
                <w:rFonts w:eastAsia="仿宋" w:cs="Times New Roman"/>
                <w:sz w:val="21"/>
                <w:szCs w:val="21"/>
              </w:rPr>
            </w:pPr>
          </w:p>
        </w:tc>
        <w:tc>
          <w:tcPr>
            <w:tcW w:w="880" w:type="dxa"/>
            <w:vAlign w:val="center"/>
          </w:tcPr>
          <w:p>
            <w:pPr>
              <w:pStyle w:val="45"/>
              <w:rPr>
                <w:rFonts w:eastAsia="仿宋" w:cs="Times New Roman"/>
                <w:sz w:val="21"/>
                <w:szCs w:val="21"/>
              </w:rPr>
            </w:pPr>
            <w:r>
              <w:rPr>
                <w:rFonts w:hint="eastAsia" w:eastAsia="仿宋" w:cs="Times New Roman"/>
                <w:sz w:val="21"/>
                <w:szCs w:val="21"/>
              </w:rPr>
              <w:t>√</w:t>
            </w:r>
          </w:p>
        </w:tc>
        <w:tc>
          <w:tcPr>
            <w:tcW w:w="860"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0" w:type="dxa"/>
            <w:vMerge w:val="continue"/>
            <w:vAlign w:val="center"/>
          </w:tcPr>
          <w:p>
            <w:pPr>
              <w:pStyle w:val="45"/>
              <w:rPr>
                <w:rFonts w:eastAsia="仿宋" w:cs="Times New Roman"/>
                <w:sz w:val="21"/>
                <w:szCs w:val="21"/>
              </w:rPr>
            </w:pPr>
          </w:p>
        </w:tc>
        <w:tc>
          <w:tcPr>
            <w:tcW w:w="850" w:type="dxa"/>
            <w:vMerge w:val="continue"/>
            <w:vAlign w:val="center"/>
          </w:tcPr>
          <w:p>
            <w:pPr>
              <w:pStyle w:val="45"/>
              <w:rPr>
                <w:rFonts w:eastAsia="仿宋" w:cs="Times New Roman"/>
                <w:sz w:val="21"/>
                <w:szCs w:val="21"/>
              </w:rPr>
            </w:pPr>
          </w:p>
        </w:tc>
        <w:tc>
          <w:tcPr>
            <w:tcW w:w="2600" w:type="dxa"/>
            <w:vAlign w:val="center"/>
          </w:tcPr>
          <w:p>
            <w:pPr>
              <w:pStyle w:val="45"/>
              <w:rPr>
                <w:rFonts w:eastAsia="仿宋" w:cs="Times New Roman"/>
                <w:sz w:val="21"/>
                <w:szCs w:val="21"/>
              </w:rPr>
            </w:pPr>
            <w:r>
              <w:rPr>
                <w:rFonts w:hint="eastAsia" w:eastAsia="仿宋" w:cs="Times New Roman"/>
                <w:sz w:val="21"/>
                <w:szCs w:val="21"/>
              </w:rPr>
              <w:t>水文水质监测站</w:t>
            </w:r>
          </w:p>
        </w:tc>
        <w:tc>
          <w:tcPr>
            <w:tcW w:w="940" w:type="dxa"/>
            <w:vAlign w:val="center"/>
          </w:tcPr>
          <w:p>
            <w:pPr>
              <w:pStyle w:val="45"/>
              <w:rPr>
                <w:rFonts w:eastAsia="仿宋" w:cs="Times New Roman"/>
                <w:sz w:val="21"/>
                <w:szCs w:val="21"/>
              </w:rPr>
            </w:pPr>
            <w:r>
              <w:rPr>
                <w:rFonts w:hint="eastAsia" w:eastAsia="仿宋" w:cs="Times New Roman"/>
                <w:sz w:val="21"/>
                <w:szCs w:val="21"/>
              </w:rPr>
              <w:t>平方米</w:t>
            </w:r>
          </w:p>
        </w:tc>
        <w:tc>
          <w:tcPr>
            <w:tcW w:w="750" w:type="dxa"/>
            <w:vAlign w:val="center"/>
          </w:tcPr>
          <w:p>
            <w:pPr>
              <w:pStyle w:val="45"/>
              <w:rPr>
                <w:rFonts w:eastAsia="仿宋" w:cs="Times New Roman"/>
                <w:sz w:val="21"/>
                <w:szCs w:val="21"/>
              </w:rPr>
            </w:pPr>
            <w:r>
              <w:rPr>
                <w:rFonts w:hint="eastAsia" w:eastAsia="仿宋" w:cs="Times New Roman"/>
                <w:sz w:val="21"/>
                <w:szCs w:val="21"/>
              </w:rPr>
              <w:t>200</w:t>
            </w:r>
          </w:p>
        </w:tc>
        <w:tc>
          <w:tcPr>
            <w:tcW w:w="1210" w:type="dxa"/>
            <w:vAlign w:val="center"/>
          </w:tcPr>
          <w:p>
            <w:pPr>
              <w:pStyle w:val="45"/>
              <w:rPr>
                <w:rFonts w:eastAsia="仿宋" w:cs="Times New Roman"/>
                <w:sz w:val="21"/>
                <w:szCs w:val="21"/>
              </w:rPr>
            </w:pPr>
            <w:r>
              <w:rPr>
                <w:rFonts w:hint="eastAsia" w:eastAsia="仿宋" w:cs="Times New Roman"/>
                <w:sz w:val="21"/>
                <w:szCs w:val="21"/>
              </w:rPr>
              <w:t>维新区域</w:t>
            </w:r>
          </w:p>
        </w:tc>
        <w:tc>
          <w:tcPr>
            <w:tcW w:w="880" w:type="dxa"/>
            <w:vAlign w:val="center"/>
          </w:tcPr>
          <w:p>
            <w:pPr>
              <w:pStyle w:val="45"/>
              <w:rPr>
                <w:rFonts w:eastAsia="仿宋" w:cs="Times New Roman"/>
                <w:sz w:val="21"/>
                <w:szCs w:val="21"/>
              </w:rPr>
            </w:pPr>
          </w:p>
        </w:tc>
        <w:tc>
          <w:tcPr>
            <w:tcW w:w="86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0" w:type="dxa"/>
            <w:vMerge w:val="continue"/>
            <w:vAlign w:val="center"/>
          </w:tcPr>
          <w:p>
            <w:pPr>
              <w:pStyle w:val="45"/>
              <w:rPr>
                <w:rFonts w:eastAsia="仿宋" w:cs="Times New Roman"/>
                <w:sz w:val="21"/>
                <w:szCs w:val="21"/>
              </w:rPr>
            </w:pPr>
          </w:p>
        </w:tc>
        <w:tc>
          <w:tcPr>
            <w:tcW w:w="850" w:type="dxa"/>
            <w:vMerge w:val="continue"/>
            <w:vAlign w:val="center"/>
          </w:tcPr>
          <w:p>
            <w:pPr>
              <w:pStyle w:val="45"/>
              <w:rPr>
                <w:rFonts w:eastAsia="仿宋" w:cs="Times New Roman"/>
                <w:sz w:val="21"/>
                <w:szCs w:val="21"/>
              </w:rPr>
            </w:pPr>
          </w:p>
        </w:tc>
        <w:tc>
          <w:tcPr>
            <w:tcW w:w="2600" w:type="dxa"/>
            <w:vAlign w:val="center"/>
          </w:tcPr>
          <w:p>
            <w:pPr>
              <w:pStyle w:val="45"/>
              <w:rPr>
                <w:rFonts w:eastAsia="仿宋" w:cs="Times New Roman"/>
                <w:sz w:val="21"/>
                <w:szCs w:val="21"/>
              </w:rPr>
            </w:pPr>
            <w:r>
              <w:rPr>
                <w:rFonts w:hint="eastAsia" w:eastAsia="仿宋" w:cs="Times New Roman"/>
                <w:sz w:val="21"/>
                <w:szCs w:val="21"/>
              </w:rPr>
              <w:t>水文水质自动监测设备</w:t>
            </w:r>
          </w:p>
        </w:tc>
        <w:tc>
          <w:tcPr>
            <w:tcW w:w="940" w:type="dxa"/>
            <w:vAlign w:val="center"/>
          </w:tcPr>
          <w:p>
            <w:pPr>
              <w:pStyle w:val="45"/>
              <w:rPr>
                <w:rFonts w:eastAsia="仿宋" w:cs="Times New Roman"/>
                <w:sz w:val="21"/>
                <w:szCs w:val="21"/>
              </w:rPr>
            </w:pPr>
            <w:r>
              <w:rPr>
                <w:rFonts w:hint="eastAsia" w:eastAsia="仿宋" w:cs="Times New Roman"/>
                <w:sz w:val="21"/>
                <w:szCs w:val="21"/>
              </w:rPr>
              <w:t>套</w:t>
            </w:r>
          </w:p>
        </w:tc>
        <w:tc>
          <w:tcPr>
            <w:tcW w:w="750" w:type="dxa"/>
            <w:vAlign w:val="center"/>
          </w:tcPr>
          <w:p>
            <w:pPr>
              <w:pStyle w:val="45"/>
              <w:rPr>
                <w:rFonts w:eastAsia="仿宋" w:cs="Times New Roman"/>
                <w:sz w:val="21"/>
                <w:szCs w:val="21"/>
              </w:rPr>
            </w:pPr>
            <w:r>
              <w:rPr>
                <w:rFonts w:eastAsia="仿宋" w:cs="Times New Roman"/>
                <w:sz w:val="21"/>
                <w:szCs w:val="21"/>
              </w:rPr>
              <w:t>1</w:t>
            </w:r>
          </w:p>
        </w:tc>
        <w:tc>
          <w:tcPr>
            <w:tcW w:w="1210" w:type="dxa"/>
            <w:vAlign w:val="center"/>
          </w:tcPr>
          <w:p>
            <w:pPr>
              <w:pStyle w:val="45"/>
              <w:rPr>
                <w:rFonts w:eastAsia="仿宋" w:cs="Times New Roman"/>
                <w:sz w:val="21"/>
                <w:szCs w:val="21"/>
              </w:rPr>
            </w:pPr>
          </w:p>
        </w:tc>
        <w:tc>
          <w:tcPr>
            <w:tcW w:w="880" w:type="dxa"/>
            <w:vAlign w:val="center"/>
          </w:tcPr>
          <w:p>
            <w:pPr>
              <w:pStyle w:val="45"/>
              <w:rPr>
                <w:rFonts w:eastAsia="仿宋" w:cs="Times New Roman"/>
                <w:sz w:val="21"/>
                <w:szCs w:val="21"/>
              </w:rPr>
            </w:pPr>
          </w:p>
        </w:tc>
        <w:tc>
          <w:tcPr>
            <w:tcW w:w="86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0" w:type="dxa"/>
            <w:vMerge w:val="continue"/>
            <w:vAlign w:val="center"/>
          </w:tcPr>
          <w:p>
            <w:pPr>
              <w:pStyle w:val="45"/>
              <w:rPr>
                <w:rFonts w:eastAsia="仿宋" w:cs="Times New Roman"/>
                <w:sz w:val="21"/>
                <w:szCs w:val="21"/>
              </w:rPr>
            </w:pPr>
          </w:p>
        </w:tc>
        <w:tc>
          <w:tcPr>
            <w:tcW w:w="850" w:type="dxa"/>
            <w:vMerge w:val="continue"/>
            <w:vAlign w:val="center"/>
          </w:tcPr>
          <w:p>
            <w:pPr>
              <w:pStyle w:val="45"/>
              <w:rPr>
                <w:rFonts w:eastAsia="仿宋" w:cs="Times New Roman"/>
                <w:sz w:val="21"/>
                <w:szCs w:val="21"/>
              </w:rPr>
            </w:pPr>
          </w:p>
        </w:tc>
        <w:tc>
          <w:tcPr>
            <w:tcW w:w="2600" w:type="dxa"/>
            <w:vAlign w:val="center"/>
          </w:tcPr>
          <w:p>
            <w:pPr>
              <w:pStyle w:val="45"/>
              <w:rPr>
                <w:rFonts w:eastAsia="仿宋" w:cs="Times New Roman"/>
                <w:sz w:val="21"/>
                <w:szCs w:val="21"/>
              </w:rPr>
            </w:pPr>
            <w:r>
              <w:rPr>
                <w:rFonts w:hint="eastAsia" w:eastAsia="仿宋" w:cs="Times New Roman"/>
                <w:sz w:val="21"/>
                <w:szCs w:val="21"/>
              </w:rPr>
              <w:t>气象观测站</w:t>
            </w:r>
          </w:p>
        </w:tc>
        <w:tc>
          <w:tcPr>
            <w:tcW w:w="940" w:type="dxa"/>
            <w:vAlign w:val="center"/>
          </w:tcPr>
          <w:p>
            <w:pPr>
              <w:pStyle w:val="45"/>
              <w:rPr>
                <w:rFonts w:eastAsia="仿宋" w:cs="Times New Roman"/>
                <w:sz w:val="21"/>
                <w:szCs w:val="21"/>
              </w:rPr>
            </w:pPr>
            <w:r>
              <w:rPr>
                <w:rFonts w:hint="eastAsia" w:eastAsia="仿宋" w:cs="Times New Roman"/>
                <w:sz w:val="21"/>
                <w:szCs w:val="21"/>
              </w:rPr>
              <w:t>平方米</w:t>
            </w:r>
          </w:p>
        </w:tc>
        <w:tc>
          <w:tcPr>
            <w:tcW w:w="750" w:type="dxa"/>
            <w:vAlign w:val="center"/>
          </w:tcPr>
          <w:p>
            <w:pPr>
              <w:pStyle w:val="45"/>
              <w:rPr>
                <w:rFonts w:eastAsia="仿宋" w:cs="Times New Roman"/>
                <w:sz w:val="21"/>
                <w:szCs w:val="21"/>
              </w:rPr>
            </w:pPr>
            <w:r>
              <w:rPr>
                <w:rFonts w:eastAsia="仿宋" w:cs="Times New Roman"/>
                <w:sz w:val="21"/>
                <w:szCs w:val="21"/>
              </w:rPr>
              <w:t>50</w:t>
            </w:r>
          </w:p>
        </w:tc>
        <w:tc>
          <w:tcPr>
            <w:tcW w:w="1210" w:type="dxa"/>
            <w:vAlign w:val="center"/>
          </w:tcPr>
          <w:p>
            <w:pPr>
              <w:pStyle w:val="45"/>
              <w:rPr>
                <w:rFonts w:eastAsia="仿宋" w:cs="Times New Roman"/>
                <w:sz w:val="21"/>
                <w:szCs w:val="21"/>
              </w:rPr>
            </w:pPr>
            <w:r>
              <w:rPr>
                <w:rFonts w:hint="eastAsia" w:eastAsia="仿宋" w:cs="Times New Roman"/>
                <w:sz w:val="21"/>
                <w:szCs w:val="21"/>
              </w:rPr>
              <w:t>彭家堡</w:t>
            </w:r>
          </w:p>
        </w:tc>
        <w:tc>
          <w:tcPr>
            <w:tcW w:w="880" w:type="dxa"/>
            <w:vAlign w:val="center"/>
          </w:tcPr>
          <w:p>
            <w:pPr>
              <w:pStyle w:val="45"/>
              <w:rPr>
                <w:rFonts w:eastAsia="仿宋" w:cs="Times New Roman"/>
                <w:sz w:val="21"/>
                <w:szCs w:val="21"/>
              </w:rPr>
            </w:pPr>
          </w:p>
        </w:tc>
        <w:tc>
          <w:tcPr>
            <w:tcW w:w="86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0" w:type="dxa"/>
            <w:vMerge w:val="continue"/>
            <w:vAlign w:val="center"/>
          </w:tcPr>
          <w:p>
            <w:pPr>
              <w:pStyle w:val="45"/>
              <w:rPr>
                <w:rFonts w:eastAsia="仿宋" w:cs="Times New Roman"/>
                <w:sz w:val="21"/>
                <w:szCs w:val="21"/>
              </w:rPr>
            </w:pPr>
          </w:p>
        </w:tc>
        <w:tc>
          <w:tcPr>
            <w:tcW w:w="850" w:type="dxa"/>
            <w:vMerge w:val="continue"/>
            <w:vAlign w:val="center"/>
          </w:tcPr>
          <w:p>
            <w:pPr>
              <w:pStyle w:val="45"/>
              <w:rPr>
                <w:rFonts w:eastAsia="仿宋" w:cs="Times New Roman"/>
                <w:sz w:val="21"/>
                <w:szCs w:val="21"/>
              </w:rPr>
            </w:pPr>
          </w:p>
        </w:tc>
        <w:tc>
          <w:tcPr>
            <w:tcW w:w="2600" w:type="dxa"/>
            <w:vAlign w:val="center"/>
          </w:tcPr>
          <w:p>
            <w:pPr>
              <w:pStyle w:val="45"/>
              <w:rPr>
                <w:rFonts w:eastAsia="仿宋" w:cs="Times New Roman"/>
                <w:sz w:val="21"/>
                <w:szCs w:val="21"/>
              </w:rPr>
            </w:pPr>
            <w:r>
              <w:rPr>
                <w:rFonts w:hint="eastAsia" w:eastAsia="仿宋" w:cs="Times New Roman"/>
                <w:sz w:val="21"/>
                <w:szCs w:val="21"/>
              </w:rPr>
              <w:t>气象自动观测设备</w:t>
            </w:r>
          </w:p>
        </w:tc>
        <w:tc>
          <w:tcPr>
            <w:tcW w:w="940" w:type="dxa"/>
            <w:vAlign w:val="center"/>
          </w:tcPr>
          <w:p>
            <w:pPr>
              <w:pStyle w:val="45"/>
              <w:rPr>
                <w:rFonts w:eastAsia="仿宋" w:cs="Times New Roman"/>
                <w:sz w:val="21"/>
                <w:szCs w:val="21"/>
              </w:rPr>
            </w:pPr>
            <w:r>
              <w:rPr>
                <w:rFonts w:hint="eastAsia" w:eastAsia="仿宋" w:cs="Times New Roman"/>
                <w:sz w:val="21"/>
                <w:szCs w:val="21"/>
              </w:rPr>
              <w:t>套</w:t>
            </w:r>
          </w:p>
        </w:tc>
        <w:tc>
          <w:tcPr>
            <w:tcW w:w="750" w:type="dxa"/>
            <w:vAlign w:val="center"/>
          </w:tcPr>
          <w:p>
            <w:pPr>
              <w:pStyle w:val="45"/>
              <w:rPr>
                <w:rFonts w:eastAsia="仿宋" w:cs="Times New Roman"/>
                <w:sz w:val="21"/>
                <w:szCs w:val="21"/>
              </w:rPr>
            </w:pPr>
            <w:r>
              <w:rPr>
                <w:rFonts w:eastAsia="仿宋" w:cs="Times New Roman"/>
                <w:sz w:val="21"/>
                <w:szCs w:val="21"/>
              </w:rPr>
              <w:t>1</w:t>
            </w:r>
          </w:p>
        </w:tc>
        <w:tc>
          <w:tcPr>
            <w:tcW w:w="1210" w:type="dxa"/>
            <w:vAlign w:val="center"/>
          </w:tcPr>
          <w:p>
            <w:pPr>
              <w:pStyle w:val="45"/>
              <w:rPr>
                <w:rFonts w:eastAsia="仿宋" w:cs="Times New Roman"/>
                <w:sz w:val="21"/>
                <w:szCs w:val="21"/>
              </w:rPr>
            </w:pPr>
          </w:p>
        </w:tc>
        <w:tc>
          <w:tcPr>
            <w:tcW w:w="880" w:type="dxa"/>
            <w:vAlign w:val="center"/>
          </w:tcPr>
          <w:p>
            <w:pPr>
              <w:pStyle w:val="45"/>
              <w:rPr>
                <w:rFonts w:eastAsia="仿宋" w:cs="Times New Roman"/>
                <w:sz w:val="21"/>
                <w:szCs w:val="21"/>
              </w:rPr>
            </w:pPr>
          </w:p>
        </w:tc>
        <w:tc>
          <w:tcPr>
            <w:tcW w:w="86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0" w:type="dxa"/>
            <w:vMerge w:val="continue"/>
            <w:vAlign w:val="center"/>
          </w:tcPr>
          <w:p>
            <w:pPr>
              <w:pStyle w:val="45"/>
              <w:rPr>
                <w:rFonts w:eastAsia="仿宋" w:cs="Times New Roman"/>
                <w:sz w:val="21"/>
                <w:szCs w:val="21"/>
              </w:rPr>
            </w:pPr>
          </w:p>
        </w:tc>
        <w:tc>
          <w:tcPr>
            <w:tcW w:w="850" w:type="dxa"/>
            <w:vMerge w:val="continue"/>
            <w:vAlign w:val="center"/>
          </w:tcPr>
          <w:p>
            <w:pPr>
              <w:pStyle w:val="45"/>
              <w:rPr>
                <w:rFonts w:eastAsia="仿宋" w:cs="Times New Roman"/>
                <w:sz w:val="21"/>
                <w:szCs w:val="21"/>
              </w:rPr>
            </w:pPr>
          </w:p>
        </w:tc>
        <w:tc>
          <w:tcPr>
            <w:tcW w:w="2600" w:type="dxa"/>
            <w:vAlign w:val="center"/>
          </w:tcPr>
          <w:p>
            <w:pPr>
              <w:pStyle w:val="45"/>
              <w:rPr>
                <w:rFonts w:eastAsia="仿宋" w:cs="Times New Roman"/>
                <w:sz w:val="21"/>
                <w:szCs w:val="21"/>
              </w:rPr>
            </w:pPr>
            <w:r>
              <w:rPr>
                <w:rFonts w:hint="eastAsia" w:eastAsia="仿宋" w:cs="Times New Roman"/>
                <w:sz w:val="21"/>
                <w:szCs w:val="21"/>
              </w:rPr>
              <w:t>鸟类环志站</w:t>
            </w:r>
          </w:p>
        </w:tc>
        <w:tc>
          <w:tcPr>
            <w:tcW w:w="940" w:type="dxa"/>
            <w:vAlign w:val="center"/>
          </w:tcPr>
          <w:p>
            <w:pPr>
              <w:pStyle w:val="45"/>
              <w:rPr>
                <w:rFonts w:eastAsia="仿宋" w:cs="Times New Roman"/>
                <w:sz w:val="21"/>
                <w:szCs w:val="21"/>
              </w:rPr>
            </w:pPr>
            <w:r>
              <w:rPr>
                <w:rFonts w:hint="eastAsia" w:eastAsia="仿宋" w:cs="Times New Roman"/>
                <w:sz w:val="21"/>
                <w:szCs w:val="21"/>
              </w:rPr>
              <w:t>平方米</w:t>
            </w:r>
          </w:p>
        </w:tc>
        <w:tc>
          <w:tcPr>
            <w:tcW w:w="750" w:type="dxa"/>
            <w:vAlign w:val="center"/>
          </w:tcPr>
          <w:p>
            <w:pPr>
              <w:pStyle w:val="45"/>
              <w:rPr>
                <w:rFonts w:eastAsia="仿宋" w:cs="Times New Roman"/>
                <w:sz w:val="21"/>
                <w:szCs w:val="21"/>
              </w:rPr>
            </w:pPr>
            <w:r>
              <w:rPr>
                <w:rFonts w:hint="eastAsia" w:eastAsia="仿宋" w:cs="Times New Roman"/>
                <w:sz w:val="21"/>
                <w:szCs w:val="21"/>
              </w:rPr>
              <w:t>300</w:t>
            </w:r>
          </w:p>
        </w:tc>
        <w:tc>
          <w:tcPr>
            <w:tcW w:w="1210" w:type="dxa"/>
            <w:vAlign w:val="center"/>
          </w:tcPr>
          <w:p>
            <w:pPr>
              <w:pStyle w:val="45"/>
              <w:rPr>
                <w:rFonts w:eastAsia="仿宋" w:cs="Times New Roman"/>
                <w:sz w:val="21"/>
                <w:szCs w:val="21"/>
              </w:rPr>
            </w:pPr>
            <w:r>
              <w:rPr>
                <w:rFonts w:hint="eastAsia" w:eastAsia="仿宋" w:cs="Times New Roman"/>
                <w:sz w:val="21"/>
                <w:szCs w:val="21"/>
              </w:rPr>
              <w:t>彭家堡</w:t>
            </w:r>
          </w:p>
        </w:tc>
        <w:tc>
          <w:tcPr>
            <w:tcW w:w="880" w:type="dxa"/>
            <w:vAlign w:val="center"/>
          </w:tcPr>
          <w:p>
            <w:pPr>
              <w:pStyle w:val="45"/>
              <w:rPr>
                <w:rFonts w:eastAsia="仿宋" w:cs="Times New Roman"/>
                <w:sz w:val="21"/>
                <w:szCs w:val="21"/>
              </w:rPr>
            </w:pPr>
            <w:r>
              <w:rPr>
                <w:rFonts w:hint="eastAsia" w:eastAsia="仿宋" w:cs="Times New Roman"/>
                <w:sz w:val="21"/>
                <w:szCs w:val="21"/>
              </w:rPr>
              <w:t>√</w:t>
            </w:r>
          </w:p>
        </w:tc>
        <w:tc>
          <w:tcPr>
            <w:tcW w:w="86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0" w:type="dxa"/>
            <w:vMerge w:val="continue"/>
            <w:vAlign w:val="center"/>
          </w:tcPr>
          <w:p>
            <w:pPr>
              <w:pStyle w:val="45"/>
              <w:rPr>
                <w:rFonts w:eastAsia="仿宋" w:cs="Times New Roman"/>
                <w:sz w:val="21"/>
                <w:szCs w:val="21"/>
              </w:rPr>
            </w:pPr>
          </w:p>
        </w:tc>
        <w:tc>
          <w:tcPr>
            <w:tcW w:w="850" w:type="dxa"/>
            <w:vMerge w:val="continue"/>
            <w:vAlign w:val="center"/>
          </w:tcPr>
          <w:p>
            <w:pPr>
              <w:pStyle w:val="45"/>
              <w:rPr>
                <w:rFonts w:eastAsia="仿宋" w:cs="Times New Roman"/>
                <w:sz w:val="21"/>
                <w:szCs w:val="21"/>
              </w:rPr>
            </w:pPr>
          </w:p>
        </w:tc>
        <w:tc>
          <w:tcPr>
            <w:tcW w:w="2600" w:type="dxa"/>
            <w:vAlign w:val="center"/>
          </w:tcPr>
          <w:p>
            <w:pPr>
              <w:pStyle w:val="45"/>
              <w:rPr>
                <w:rFonts w:eastAsia="仿宋" w:cs="Times New Roman"/>
                <w:sz w:val="21"/>
                <w:szCs w:val="21"/>
              </w:rPr>
            </w:pPr>
            <w:r>
              <w:rPr>
                <w:rFonts w:hint="eastAsia" w:eastAsia="仿宋" w:cs="Times New Roman"/>
                <w:sz w:val="21"/>
                <w:szCs w:val="21"/>
              </w:rPr>
              <w:t>环境空气质量监测</w:t>
            </w:r>
          </w:p>
        </w:tc>
        <w:tc>
          <w:tcPr>
            <w:tcW w:w="940" w:type="dxa"/>
            <w:vAlign w:val="center"/>
          </w:tcPr>
          <w:p>
            <w:pPr>
              <w:pStyle w:val="45"/>
              <w:rPr>
                <w:rFonts w:eastAsia="仿宋" w:cs="Times New Roman"/>
                <w:sz w:val="21"/>
                <w:szCs w:val="21"/>
              </w:rPr>
            </w:pPr>
            <w:r>
              <w:rPr>
                <w:rFonts w:hint="eastAsia" w:eastAsia="仿宋" w:cs="Times New Roman"/>
                <w:sz w:val="21"/>
                <w:szCs w:val="21"/>
              </w:rPr>
              <w:t>年</w:t>
            </w:r>
          </w:p>
        </w:tc>
        <w:tc>
          <w:tcPr>
            <w:tcW w:w="750" w:type="dxa"/>
            <w:vAlign w:val="center"/>
          </w:tcPr>
          <w:p>
            <w:pPr>
              <w:pStyle w:val="45"/>
              <w:rPr>
                <w:rFonts w:eastAsia="仿宋" w:cs="Times New Roman"/>
                <w:sz w:val="21"/>
                <w:szCs w:val="21"/>
              </w:rPr>
            </w:pPr>
            <w:r>
              <w:rPr>
                <w:rFonts w:hint="eastAsia" w:eastAsia="仿宋" w:cs="Times New Roman"/>
                <w:sz w:val="21"/>
                <w:szCs w:val="21"/>
              </w:rPr>
              <w:t>8</w:t>
            </w:r>
          </w:p>
        </w:tc>
        <w:tc>
          <w:tcPr>
            <w:tcW w:w="1210" w:type="dxa"/>
            <w:vAlign w:val="center"/>
          </w:tcPr>
          <w:p>
            <w:pPr>
              <w:pStyle w:val="45"/>
              <w:rPr>
                <w:rFonts w:eastAsia="仿宋" w:cs="Times New Roman"/>
                <w:sz w:val="21"/>
                <w:szCs w:val="21"/>
              </w:rPr>
            </w:pPr>
          </w:p>
        </w:tc>
        <w:tc>
          <w:tcPr>
            <w:tcW w:w="880" w:type="dxa"/>
            <w:vAlign w:val="center"/>
          </w:tcPr>
          <w:p>
            <w:pPr>
              <w:pStyle w:val="45"/>
              <w:rPr>
                <w:rFonts w:eastAsia="仿宋" w:cs="Times New Roman"/>
                <w:sz w:val="21"/>
                <w:szCs w:val="21"/>
              </w:rPr>
            </w:pPr>
          </w:p>
        </w:tc>
        <w:tc>
          <w:tcPr>
            <w:tcW w:w="86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0" w:type="dxa"/>
            <w:vMerge w:val="continue"/>
            <w:vAlign w:val="center"/>
          </w:tcPr>
          <w:p>
            <w:pPr>
              <w:pStyle w:val="45"/>
              <w:rPr>
                <w:rFonts w:eastAsia="仿宋" w:cs="Times New Roman"/>
                <w:sz w:val="21"/>
                <w:szCs w:val="21"/>
              </w:rPr>
            </w:pPr>
          </w:p>
        </w:tc>
        <w:tc>
          <w:tcPr>
            <w:tcW w:w="850" w:type="dxa"/>
            <w:vMerge w:val="continue"/>
            <w:vAlign w:val="center"/>
          </w:tcPr>
          <w:p>
            <w:pPr>
              <w:pStyle w:val="45"/>
              <w:rPr>
                <w:rFonts w:eastAsia="仿宋" w:cs="Times New Roman"/>
                <w:sz w:val="21"/>
                <w:szCs w:val="21"/>
              </w:rPr>
            </w:pPr>
          </w:p>
        </w:tc>
        <w:tc>
          <w:tcPr>
            <w:tcW w:w="2600" w:type="dxa"/>
            <w:vAlign w:val="center"/>
          </w:tcPr>
          <w:p>
            <w:pPr>
              <w:pStyle w:val="45"/>
              <w:rPr>
                <w:rFonts w:eastAsia="仿宋" w:cs="Times New Roman"/>
                <w:sz w:val="21"/>
                <w:szCs w:val="21"/>
              </w:rPr>
            </w:pPr>
            <w:r>
              <w:rPr>
                <w:rFonts w:hint="eastAsia" w:eastAsia="仿宋" w:cs="Times New Roman"/>
                <w:sz w:val="21"/>
                <w:szCs w:val="21"/>
              </w:rPr>
              <w:t>地表水环境质量监测</w:t>
            </w:r>
          </w:p>
        </w:tc>
        <w:tc>
          <w:tcPr>
            <w:tcW w:w="940" w:type="dxa"/>
            <w:vAlign w:val="center"/>
          </w:tcPr>
          <w:p>
            <w:pPr>
              <w:pStyle w:val="45"/>
              <w:rPr>
                <w:rFonts w:eastAsia="仿宋" w:cs="Times New Roman"/>
                <w:sz w:val="21"/>
                <w:szCs w:val="21"/>
              </w:rPr>
            </w:pPr>
            <w:r>
              <w:rPr>
                <w:rFonts w:hint="eastAsia" w:eastAsia="仿宋" w:cs="Times New Roman"/>
                <w:sz w:val="21"/>
                <w:szCs w:val="21"/>
              </w:rPr>
              <w:t>年</w:t>
            </w:r>
          </w:p>
        </w:tc>
        <w:tc>
          <w:tcPr>
            <w:tcW w:w="750" w:type="dxa"/>
            <w:vAlign w:val="center"/>
          </w:tcPr>
          <w:p>
            <w:pPr>
              <w:pStyle w:val="45"/>
              <w:rPr>
                <w:rFonts w:eastAsia="仿宋" w:cs="Times New Roman"/>
                <w:sz w:val="21"/>
                <w:szCs w:val="21"/>
              </w:rPr>
            </w:pPr>
            <w:r>
              <w:rPr>
                <w:rFonts w:hint="eastAsia" w:eastAsia="仿宋" w:cs="Times New Roman"/>
                <w:sz w:val="21"/>
                <w:szCs w:val="21"/>
              </w:rPr>
              <w:t>8</w:t>
            </w:r>
          </w:p>
        </w:tc>
        <w:tc>
          <w:tcPr>
            <w:tcW w:w="1210" w:type="dxa"/>
            <w:vAlign w:val="center"/>
          </w:tcPr>
          <w:p>
            <w:pPr>
              <w:pStyle w:val="45"/>
              <w:rPr>
                <w:rFonts w:eastAsia="仿宋" w:cs="Times New Roman"/>
                <w:sz w:val="21"/>
                <w:szCs w:val="21"/>
              </w:rPr>
            </w:pPr>
          </w:p>
        </w:tc>
        <w:tc>
          <w:tcPr>
            <w:tcW w:w="880" w:type="dxa"/>
            <w:vAlign w:val="center"/>
          </w:tcPr>
          <w:p>
            <w:pPr>
              <w:pStyle w:val="45"/>
              <w:rPr>
                <w:rFonts w:eastAsia="仿宋" w:cs="Times New Roman"/>
                <w:sz w:val="21"/>
                <w:szCs w:val="21"/>
              </w:rPr>
            </w:pPr>
            <w:r>
              <w:rPr>
                <w:rFonts w:hint="eastAsia" w:eastAsia="仿宋" w:cs="Times New Roman"/>
                <w:sz w:val="21"/>
                <w:szCs w:val="21"/>
              </w:rPr>
              <w:t>√</w:t>
            </w:r>
          </w:p>
        </w:tc>
        <w:tc>
          <w:tcPr>
            <w:tcW w:w="86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0" w:type="dxa"/>
            <w:vMerge w:val="continue"/>
            <w:vAlign w:val="center"/>
          </w:tcPr>
          <w:p>
            <w:pPr>
              <w:pStyle w:val="45"/>
              <w:rPr>
                <w:rFonts w:eastAsia="仿宋" w:cs="Times New Roman"/>
                <w:sz w:val="21"/>
                <w:szCs w:val="21"/>
              </w:rPr>
            </w:pPr>
          </w:p>
        </w:tc>
        <w:tc>
          <w:tcPr>
            <w:tcW w:w="850" w:type="dxa"/>
            <w:vMerge w:val="continue"/>
            <w:vAlign w:val="center"/>
          </w:tcPr>
          <w:p>
            <w:pPr>
              <w:pStyle w:val="45"/>
              <w:rPr>
                <w:rFonts w:eastAsia="仿宋" w:cs="Times New Roman"/>
                <w:sz w:val="21"/>
                <w:szCs w:val="21"/>
              </w:rPr>
            </w:pPr>
          </w:p>
        </w:tc>
        <w:tc>
          <w:tcPr>
            <w:tcW w:w="2600" w:type="dxa"/>
            <w:vAlign w:val="center"/>
          </w:tcPr>
          <w:p>
            <w:pPr>
              <w:pStyle w:val="45"/>
              <w:rPr>
                <w:rFonts w:eastAsia="仿宋" w:cs="Times New Roman"/>
                <w:sz w:val="21"/>
                <w:szCs w:val="21"/>
              </w:rPr>
            </w:pPr>
            <w:r>
              <w:rPr>
                <w:rFonts w:hint="eastAsia" w:eastAsia="仿宋" w:cs="Times New Roman"/>
                <w:sz w:val="21"/>
                <w:szCs w:val="21"/>
              </w:rPr>
              <w:t>土壤环境质量监测</w:t>
            </w:r>
          </w:p>
        </w:tc>
        <w:tc>
          <w:tcPr>
            <w:tcW w:w="940" w:type="dxa"/>
            <w:vAlign w:val="center"/>
          </w:tcPr>
          <w:p>
            <w:pPr>
              <w:pStyle w:val="45"/>
              <w:rPr>
                <w:rFonts w:eastAsia="仿宋" w:cs="Times New Roman"/>
                <w:sz w:val="21"/>
                <w:szCs w:val="21"/>
              </w:rPr>
            </w:pPr>
            <w:r>
              <w:rPr>
                <w:rFonts w:hint="eastAsia" w:eastAsia="仿宋" w:cs="Times New Roman"/>
                <w:sz w:val="21"/>
                <w:szCs w:val="21"/>
              </w:rPr>
              <w:t>年</w:t>
            </w:r>
          </w:p>
        </w:tc>
        <w:tc>
          <w:tcPr>
            <w:tcW w:w="750" w:type="dxa"/>
            <w:vAlign w:val="center"/>
          </w:tcPr>
          <w:p>
            <w:pPr>
              <w:pStyle w:val="45"/>
              <w:rPr>
                <w:rFonts w:eastAsia="仿宋" w:cs="Times New Roman"/>
                <w:sz w:val="21"/>
                <w:szCs w:val="21"/>
              </w:rPr>
            </w:pPr>
            <w:r>
              <w:rPr>
                <w:rFonts w:hint="eastAsia" w:eastAsia="仿宋" w:cs="Times New Roman"/>
                <w:sz w:val="21"/>
                <w:szCs w:val="21"/>
              </w:rPr>
              <w:t>8</w:t>
            </w:r>
          </w:p>
        </w:tc>
        <w:tc>
          <w:tcPr>
            <w:tcW w:w="1210" w:type="dxa"/>
            <w:vAlign w:val="center"/>
          </w:tcPr>
          <w:p>
            <w:pPr>
              <w:pStyle w:val="45"/>
              <w:rPr>
                <w:rFonts w:eastAsia="仿宋" w:cs="Times New Roman"/>
                <w:sz w:val="21"/>
                <w:szCs w:val="21"/>
              </w:rPr>
            </w:pPr>
          </w:p>
        </w:tc>
        <w:tc>
          <w:tcPr>
            <w:tcW w:w="880" w:type="dxa"/>
            <w:vAlign w:val="center"/>
          </w:tcPr>
          <w:p>
            <w:pPr>
              <w:pStyle w:val="45"/>
              <w:rPr>
                <w:rFonts w:eastAsia="仿宋" w:cs="Times New Roman"/>
                <w:sz w:val="21"/>
                <w:szCs w:val="21"/>
              </w:rPr>
            </w:pPr>
            <w:r>
              <w:rPr>
                <w:rFonts w:hint="eastAsia" w:eastAsia="仿宋" w:cs="Times New Roman"/>
                <w:sz w:val="21"/>
                <w:szCs w:val="21"/>
              </w:rPr>
              <w:t>√</w:t>
            </w:r>
          </w:p>
        </w:tc>
        <w:tc>
          <w:tcPr>
            <w:tcW w:w="86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0" w:type="dxa"/>
            <w:vMerge w:val="continue"/>
            <w:vAlign w:val="center"/>
          </w:tcPr>
          <w:p>
            <w:pPr>
              <w:pStyle w:val="45"/>
              <w:rPr>
                <w:rFonts w:eastAsia="仿宋" w:cs="Times New Roman"/>
                <w:sz w:val="21"/>
                <w:szCs w:val="21"/>
              </w:rPr>
            </w:pPr>
          </w:p>
        </w:tc>
        <w:tc>
          <w:tcPr>
            <w:tcW w:w="850" w:type="dxa"/>
            <w:vMerge w:val="continue"/>
            <w:vAlign w:val="center"/>
          </w:tcPr>
          <w:p>
            <w:pPr>
              <w:pStyle w:val="45"/>
              <w:rPr>
                <w:rFonts w:eastAsia="仿宋" w:cs="Times New Roman"/>
                <w:sz w:val="21"/>
                <w:szCs w:val="21"/>
              </w:rPr>
            </w:pPr>
          </w:p>
        </w:tc>
        <w:tc>
          <w:tcPr>
            <w:tcW w:w="2600" w:type="dxa"/>
            <w:vAlign w:val="center"/>
          </w:tcPr>
          <w:p>
            <w:pPr>
              <w:pStyle w:val="45"/>
              <w:rPr>
                <w:rFonts w:eastAsia="仿宋" w:cs="Times New Roman"/>
                <w:sz w:val="21"/>
                <w:szCs w:val="21"/>
              </w:rPr>
            </w:pPr>
            <w:r>
              <w:rPr>
                <w:rFonts w:hint="eastAsia" w:eastAsia="仿宋" w:cs="Times New Roman"/>
                <w:sz w:val="21"/>
                <w:szCs w:val="21"/>
              </w:rPr>
              <w:t>植物多样性监测</w:t>
            </w:r>
          </w:p>
        </w:tc>
        <w:tc>
          <w:tcPr>
            <w:tcW w:w="940" w:type="dxa"/>
            <w:vAlign w:val="center"/>
          </w:tcPr>
          <w:p>
            <w:pPr>
              <w:pStyle w:val="45"/>
              <w:rPr>
                <w:rFonts w:eastAsia="仿宋" w:cs="Times New Roman"/>
                <w:sz w:val="21"/>
                <w:szCs w:val="21"/>
              </w:rPr>
            </w:pPr>
            <w:r>
              <w:rPr>
                <w:rFonts w:hint="eastAsia" w:eastAsia="仿宋" w:cs="Times New Roman"/>
                <w:sz w:val="21"/>
                <w:szCs w:val="21"/>
              </w:rPr>
              <w:t>年</w:t>
            </w:r>
          </w:p>
        </w:tc>
        <w:tc>
          <w:tcPr>
            <w:tcW w:w="750" w:type="dxa"/>
            <w:vAlign w:val="center"/>
          </w:tcPr>
          <w:p>
            <w:pPr>
              <w:pStyle w:val="45"/>
              <w:rPr>
                <w:rFonts w:eastAsia="仿宋" w:cs="Times New Roman"/>
                <w:sz w:val="21"/>
                <w:szCs w:val="21"/>
              </w:rPr>
            </w:pPr>
            <w:r>
              <w:rPr>
                <w:rFonts w:hint="eastAsia" w:eastAsia="仿宋" w:cs="Times New Roman"/>
                <w:sz w:val="21"/>
                <w:szCs w:val="21"/>
              </w:rPr>
              <w:t>8</w:t>
            </w:r>
          </w:p>
        </w:tc>
        <w:tc>
          <w:tcPr>
            <w:tcW w:w="1210" w:type="dxa"/>
            <w:vAlign w:val="center"/>
          </w:tcPr>
          <w:p>
            <w:pPr>
              <w:pStyle w:val="45"/>
              <w:rPr>
                <w:rFonts w:eastAsia="仿宋" w:cs="Times New Roman"/>
                <w:sz w:val="21"/>
                <w:szCs w:val="21"/>
              </w:rPr>
            </w:pPr>
          </w:p>
        </w:tc>
        <w:tc>
          <w:tcPr>
            <w:tcW w:w="880" w:type="dxa"/>
            <w:vAlign w:val="center"/>
          </w:tcPr>
          <w:p>
            <w:pPr>
              <w:pStyle w:val="45"/>
              <w:rPr>
                <w:rFonts w:eastAsia="仿宋" w:cs="Times New Roman"/>
                <w:sz w:val="21"/>
                <w:szCs w:val="21"/>
              </w:rPr>
            </w:pPr>
            <w:r>
              <w:rPr>
                <w:rFonts w:hint="eastAsia" w:eastAsia="仿宋" w:cs="Times New Roman"/>
                <w:sz w:val="21"/>
                <w:szCs w:val="21"/>
              </w:rPr>
              <w:t>√</w:t>
            </w:r>
          </w:p>
        </w:tc>
        <w:tc>
          <w:tcPr>
            <w:tcW w:w="86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0" w:type="dxa"/>
            <w:vMerge w:val="continue"/>
            <w:vAlign w:val="center"/>
          </w:tcPr>
          <w:p>
            <w:pPr>
              <w:pStyle w:val="45"/>
              <w:rPr>
                <w:rFonts w:eastAsia="仿宋" w:cs="Times New Roman"/>
                <w:sz w:val="21"/>
                <w:szCs w:val="21"/>
              </w:rPr>
            </w:pPr>
          </w:p>
        </w:tc>
        <w:tc>
          <w:tcPr>
            <w:tcW w:w="850" w:type="dxa"/>
            <w:vMerge w:val="continue"/>
            <w:vAlign w:val="center"/>
          </w:tcPr>
          <w:p>
            <w:pPr>
              <w:pStyle w:val="45"/>
              <w:rPr>
                <w:rFonts w:eastAsia="仿宋" w:cs="Times New Roman"/>
                <w:sz w:val="21"/>
                <w:szCs w:val="21"/>
              </w:rPr>
            </w:pPr>
          </w:p>
        </w:tc>
        <w:tc>
          <w:tcPr>
            <w:tcW w:w="2600" w:type="dxa"/>
            <w:vAlign w:val="center"/>
          </w:tcPr>
          <w:p>
            <w:pPr>
              <w:pStyle w:val="45"/>
              <w:rPr>
                <w:rFonts w:eastAsia="仿宋" w:cs="Times New Roman"/>
                <w:sz w:val="21"/>
                <w:szCs w:val="21"/>
              </w:rPr>
            </w:pPr>
            <w:r>
              <w:rPr>
                <w:rFonts w:hint="eastAsia" w:eastAsia="仿宋" w:cs="Times New Roman"/>
                <w:sz w:val="21"/>
                <w:szCs w:val="21"/>
              </w:rPr>
              <w:t>动物多样性监测</w:t>
            </w:r>
          </w:p>
        </w:tc>
        <w:tc>
          <w:tcPr>
            <w:tcW w:w="940" w:type="dxa"/>
            <w:vAlign w:val="center"/>
          </w:tcPr>
          <w:p>
            <w:pPr>
              <w:pStyle w:val="45"/>
              <w:rPr>
                <w:rFonts w:eastAsia="仿宋" w:cs="Times New Roman"/>
                <w:sz w:val="21"/>
                <w:szCs w:val="21"/>
              </w:rPr>
            </w:pPr>
            <w:r>
              <w:rPr>
                <w:rFonts w:hint="eastAsia" w:eastAsia="仿宋" w:cs="Times New Roman"/>
                <w:sz w:val="21"/>
                <w:szCs w:val="21"/>
              </w:rPr>
              <w:t>年</w:t>
            </w:r>
          </w:p>
        </w:tc>
        <w:tc>
          <w:tcPr>
            <w:tcW w:w="750" w:type="dxa"/>
            <w:vAlign w:val="center"/>
          </w:tcPr>
          <w:p>
            <w:pPr>
              <w:pStyle w:val="45"/>
              <w:rPr>
                <w:rFonts w:eastAsia="仿宋" w:cs="Times New Roman"/>
                <w:sz w:val="21"/>
                <w:szCs w:val="21"/>
              </w:rPr>
            </w:pPr>
            <w:r>
              <w:rPr>
                <w:rFonts w:hint="eastAsia" w:eastAsia="仿宋" w:cs="Times New Roman"/>
                <w:sz w:val="21"/>
                <w:szCs w:val="21"/>
              </w:rPr>
              <w:t>8</w:t>
            </w:r>
          </w:p>
        </w:tc>
        <w:tc>
          <w:tcPr>
            <w:tcW w:w="1210" w:type="dxa"/>
            <w:vAlign w:val="center"/>
          </w:tcPr>
          <w:p>
            <w:pPr>
              <w:pStyle w:val="45"/>
              <w:rPr>
                <w:rFonts w:eastAsia="仿宋" w:cs="Times New Roman"/>
                <w:sz w:val="21"/>
                <w:szCs w:val="21"/>
              </w:rPr>
            </w:pPr>
          </w:p>
        </w:tc>
        <w:tc>
          <w:tcPr>
            <w:tcW w:w="880" w:type="dxa"/>
            <w:vAlign w:val="center"/>
          </w:tcPr>
          <w:p>
            <w:pPr>
              <w:pStyle w:val="45"/>
              <w:rPr>
                <w:rFonts w:eastAsia="仿宋" w:cs="Times New Roman"/>
                <w:sz w:val="21"/>
                <w:szCs w:val="21"/>
              </w:rPr>
            </w:pPr>
            <w:r>
              <w:rPr>
                <w:rFonts w:hint="eastAsia" w:eastAsia="仿宋" w:cs="Times New Roman"/>
                <w:sz w:val="21"/>
                <w:szCs w:val="21"/>
              </w:rPr>
              <w:t>√</w:t>
            </w:r>
          </w:p>
        </w:tc>
        <w:tc>
          <w:tcPr>
            <w:tcW w:w="86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0" w:type="dxa"/>
            <w:vMerge w:val="continue"/>
            <w:vAlign w:val="center"/>
          </w:tcPr>
          <w:p>
            <w:pPr>
              <w:pStyle w:val="45"/>
              <w:rPr>
                <w:rFonts w:eastAsia="仿宋" w:cs="Times New Roman"/>
                <w:sz w:val="21"/>
                <w:szCs w:val="21"/>
              </w:rPr>
            </w:pPr>
          </w:p>
        </w:tc>
        <w:tc>
          <w:tcPr>
            <w:tcW w:w="850" w:type="dxa"/>
            <w:vMerge w:val="continue"/>
            <w:vAlign w:val="center"/>
          </w:tcPr>
          <w:p>
            <w:pPr>
              <w:pStyle w:val="45"/>
              <w:rPr>
                <w:rFonts w:eastAsia="仿宋" w:cs="Times New Roman"/>
                <w:sz w:val="21"/>
                <w:szCs w:val="21"/>
              </w:rPr>
            </w:pPr>
          </w:p>
        </w:tc>
        <w:tc>
          <w:tcPr>
            <w:tcW w:w="2600" w:type="dxa"/>
            <w:vAlign w:val="center"/>
          </w:tcPr>
          <w:p>
            <w:pPr>
              <w:pStyle w:val="45"/>
              <w:rPr>
                <w:rFonts w:eastAsia="仿宋" w:cs="Times New Roman"/>
                <w:sz w:val="21"/>
                <w:szCs w:val="21"/>
              </w:rPr>
            </w:pPr>
            <w:r>
              <w:rPr>
                <w:rFonts w:hint="eastAsia" w:eastAsia="仿宋" w:cs="Times New Roman"/>
                <w:sz w:val="21"/>
                <w:szCs w:val="21"/>
              </w:rPr>
              <w:t>游客影响监测</w:t>
            </w:r>
          </w:p>
        </w:tc>
        <w:tc>
          <w:tcPr>
            <w:tcW w:w="940" w:type="dxa"/>
            <w:vAlign w:val="center"/>
          </w:tcPr>
          <w:p>
            <w:pPr>
              <w:pStyle w:val="45"/>
              <w:rPr>
                <w:rFonts w:eastAsia="仿宋" w:cs="Times New Roman"/>
                <w:sz w:val="21"/>
                <w:szCs w:val="21"/>
              </w:rPr>
            </w:pPr>
            <w:r>
              <w:rPr>
                <w:rFonts w:hint="eastAsia" w:eastAsia="仿宋" w:cs="Times New Roman"/>
                <w:sz w:val="21"/>
                <w:szCs w:val="21"/>
              </w:rPr>
              <w:t>年</w:t>
            </w:r>
          </w:p>
        </w:tc>
        <w:tc>
          <w:tcPr>
            <w:tcW w:w="750" w:type="dxa"/>
            <w:vAlign w:val="center"/>
          </w:tcPr>
          <w:p>
            <w:pPr>
              <w:pStyle w:val="45"/>
              <w:rPr>
                <w:rFonts w:eastAsia="仿宋" w:cs="Times New Roman"/>
                <w:sz w:val="21"/>
                <w:szCs w:val="21"/>
              </w:rPr>
            </w:pPr>
            <w:r>
              <w:rPr>
                <w:rFonts w:hint="eastAsia" w:eastAsia="仿宋" w:cs="Times New Roman"/>
                <w:sz w:val="21"/>
                <w:szCs w:val="21"/>
              </w:rPr>
              <w:t>8</w:t>
            </w:r>
          </w:p>
        </w:tc>
        <w:tc>
          <w:tcPr>
            <w:tcW w:w="1210" w:type="dxa"/>
            <w:vAlign w:val="center"/>
          </w:tcPr>
          <w:p>
            <w:pPr>
              <w:pStyle w:val="45"/>
              <w:rPr>
                <w:rFonts w:eastAsia="仿宋" w:cs="Times New Roman"/>
                <w:sz w:val="21"/>
                <w:szCs w:val="21"/>
              </w:rPr>
            </w:pPr>
          </w:p>
        </w:tc>
        <w:tc>
          <w:tcPr>
            <w:tcW w:w="880" w:type="dxa"/>
            <w:vAlign w:val="center"/>
          </w:tcPr>
          <w:p>
            <w:pPr>
              <w:pStyle w:val="45"/>
              <w:rPr>
                <w:rFonts w:eastAsia="仿宋" w:cs="Times New Roman"/>
                <w:sz w:val="21"/>
                <w:szCs w:val="21"/>
              </w:rPr>
            </w:pPr>
            <w:r>
              <w:rPr>
                <w:rFonts w:hint="eastAsia" w:eastAsia="仿宋" w:cs="Times New Roman"/>
                <w:sz w:val="21"/>
                <w:szCs w:val="21"/>
              </w:rPr>
              <w:t>√</w:t>
            </w:r>
          </w:p>
        </w:tc>
        <w:tc>
          <w:tcPr>
            <w:tcW w:w="86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0" w:type="dxa"/>
            <w:vMerge w:val="continue"/>
            <w:vAlign w:val="center"/>
          </w:tcPr>
          <w:p>
            <w:pPr>
              <w:pStyle w:val="45"/>
              <w:rPr>
                <w:rFonts w:eastAsia="仿宋" w:cs="Times New Roman"/>
                <w:sz w:val="21"/>
                <w:szCs w:val="21"/>
              </w:rPr>
            </w:pPr>
          </w:p>
        </w:tc>
        <w:tc>
          <w:tcPr>
            <w:tcW w:w="850" w:type="dxa"/>
            <w:vMerge w:val="continue"/>
            <w:vAlign w:val="center"/>
          </w:tcPr>
          <w:p>
            <w:pPr>
              <w:pStyle w:val="45"/>
              <w:rPr>
                <w:rFonts w:eastAsia="仿宋" w:cs="Times New Roman"/>
                <w:sz w:val="21"/>
                <w:szCs w:val="21"/>
              </w:rPr>
            </w:pPr>
          </w:p>
        </w:tc>
        <w:tc>
          <w:tcPr>
            <w:tcW w:w="2600" w:type="dxa"/>
            <w:vAlign w:val="center"/>
          </w:tcPr>
          <w:p>
            <w:pPr>
              <w:pStyle w:val="45"/>
              <w:rPr>
                <w:rFonts w:eastAsia="仿宋" w:cs="Times New Roman"/>
                <w:sz w:val="21"/>
                <w:szCs w:val="21"/>
              </w:rPr>
            </w:pPr>
            <w:r>
              <w:rPr>
                <w:rFonts w:hint="eastAsia" w:eastAsia="仿宋" w:cs="Times New Roman"/>
                <w:sz w:val="21"/>
                <w:szCs w:val="21"/>
              </w:rPr>
              <w:t>湿地监测信息系统</w:t>
            </w:r>
          </w:p>
        </w:tc>
        <w:tc>
          <w:tcPr>
            <w:tcW w:w="940" w:type="dxa"/>
            <w:vAlign w:val="center"/>
          </w:tcPr>
          <w:p>
            <w:pPr>
              <w:pStyle w:val="45"/>
              <w:rPr>
                <w:rFonts w:eastAsia="仿宋" w:cs="Times New Roman"/>
                <w:sz w:val="21"/>
                <w:szCs w:val="21"/>
              </w:rPr>
            </w:pPr>
            <w:r>
              <w:rPr>
                <w:rFonts w:hint="eastAsia" w:eastAsia="仿宋" w:cs="Times New Roman"/>
                <w:sz w:val="21"/>
                <w:szCs w:val="21"/>
              </w:rPr>
              <w:t>套</w:t>
            </w:r>
          </w:p>
        </w:tc>
        <w:tc>
          <w:tcPr>
            <w:tcW w:w="750" w:type="dxa"/>
            <w:vAlign w:val="center"/>
          </w:tcPr>
          <w:p>
            <w:pPr>
              <w:pStyle w:val="45"/>
              <w:rPr>
                <w:rFonts w:eastAsia="仿宋" w:cs="Times New Roman"/>
                <w:sz w:val="21"/>
                <w:szCs w:val="21"/>
              </w:rPr>
            </w:pPr>
            <w:r>
              <w:rPr>
                <w:rFonts w:eastAsia="仿宋" w:cs="Times New Roman"/>
                <w:sz w:val="21"/>
                <w:szCs w:val="21"/>
              </w:rPr>
              <w:t>1</w:t>
            </w:r>
          </w:p>
        </w:tc>
        <w:tc>
          <w:tcPr>
            <w:tcW w:w="1210" w:type="dxa"/>
            <w:vAlign w:val="center"/>
          </w:tcPr>
          <w:p>
            <w:pPr>
              <w:pStyle w:val="45"/>
              <w:rPr>
                <w:rFonts w:eastAsia="仿宋" w:cs="Times New Roman"/>
                <w:sz w:val="21"/>
                <w:szCs w:val="21"/>
              </w:rPr>
            </w:pPr>
          </w:p>
        </w:tc>
        <w:tc>
          <w:tcPr>
            <w:tcW w:w="880" w:type="dxa"/>
            <w:vAlign w:val="center"/>
          </w:tcPr>
          <w:p>
            <w:pPr>
              <w:pStyle w:val="45"/>
              <w:rPr>
                <w:rFonts w:eastAsia="仿宋" w:cs="Times New Roman"/>
                <w:sz w:val="21"/>
                <w:szCs w:val="21"/>
              </w:rPr>
            </w:pPr>
          </w:p>
        </w:tc>
        <w:tc>
          <w:tcPr>
            <w:tcW w:w="860" w:type="dxa"/>
            <w:vAlign w:val="center"/>
          </w:tcPr>
          <w:p>
            <w:pPr>
              <w:pStyle w:val="45"/>
              <w:rPr>
                <w:rFonts w:eastAsia="仿宋" w:cs="Times New Roman"/>
                <w:sz w:val="21"/>
                <w:szCs w:val="21"/>
              </w:rPr>
            </w:pPr>
            <w:r>
              <w:rPr>
                <w:rFonts w:hint="eastAsia" w:eastAsia="仿宋" w:cs="Times New Roman"/>
                <w:sz w:val="21"/>
                <w:szCs w:val="21"/>
              </w:rPr>
              <w:t>√</w:t>
            </w:r>
          </w:p>
        </w:tc>
      </w:tr>
    </w:tbl>
    <w:p>
      <w:pPr>
        <w:pStyle w:val="4"/>
        <w:numPr>
          <w:ilvl w:val="0"/>
          <w:numId w:val="63"/>
        </w:numPr>
        <w:spacing w:after="395"/>
        <w:ind w:left="0" w:firstLine="0"/>
      </w:pPr>
      <w:bookmarkStart w:id="442" w:name="_Toc117114394"/>
      <w:bookmarkStart w:id="443" w:name="_Toc113925561"/>
      <w:bookmarkStart w:id="444" w:name="_Toc24607"/>
      <w:bookmarkStart w:id="445" w:name="_Toc113925813"/>
      <w:bookmarkStart w:id="446" w:name="_Toc14091"/>
      <w:bookmarkStart w:id="447" w:name="_Toc114084666"/>
      <w:r>
        <w:rPr>
          <w:rFonts w:hint="eastAsia"/>
        </w:rPr>
        <w:t>合理利用规划</w:t>
      </w:r>
      <w:bookmarkEnd w:id="442"/>
      <w:bookmarkEnd w:id="443"/>
      <w:bookmarkEnd w:id="444"/>
      <w:bookmarkEnd w:id="445"/>
      <w:bookmarkEnd w:id="446"/>
      <w:bookmarkEnd w:id="447"/>
    </w:p>
    <w:p>
      <w:pPr>
        <w:pStyle w:val="5"/>
        <w:numPr>
          <w:ilvl w:val="1"/>
          <w:numId w:val="63"/>
        </w:numPr>
        <w:spacing w:before="197"/>
      </w:pPr>
      <w:bookmarkStart w:id="448" w:name="_Toc113925814"/>
      <w:bookmarkStart w:id="449" w:name="_Toc29859"/>
      <w:bookmarkStart w:id="450" w:name="_Toc117114395"/>
      <w:bookmarkStart w:id="451" w:name="_Toc114084667"/>
      <w:bookmarkStart w:id="452" w:name="_Toc113925562"/>
      <w:bookmarkStart w:id="453" w:name="_Toc19807"/>
      <w:r>
        <w:rPr>
          <w:rFonts w:hint="eastAsia"/>
        </w:rPr>
        <w:t>规划原则</w:t>
      </w:r>
      <w:bookmarkEnd w:id="448"/>
      <w:bookmarkEnd w:id="449"/>
      <w:bookmarkEnd w:id="450"/>
      <w:bookmarkEnd w:id="451"/>
      <w:bookmarkEnd w:id="452"/>
      <w:bookmarkEnd w:id="453"/>
    </w:p>
    <w:p>
      <w:pPr>
        <w:pStyle w:val="6"/>
        <w:numPr>
          <w:ilvl w:val="2"/>
          <w:numId w:val="63"/>
        </w:numPr>
      </w:pPr>
      <w:bookmarkStart w:id="454" w:name="_Toc113925815"/>
      <w:bookmarkStart w:id="455" w:name="_Toc113925563"/>
      <w:r>
        <w:rPr>
          <w:rFonts w:hint="eastAsia"/>
        </w:rPr>
        <w:t>生态优先的原则</w:t>
      </w:r>
      <w:bookmarkEnd w:id="454"/>
      <w:bookmarkEnd w:id="455"/>
    </w:p>
    <w:p>
      <w:pPr>
        <w:ind w:firstLine="560"/>
        <w:rPr>
          <w:rFonts w:ascii="仿宋" w:hAnsi="仿宋" w:cs="仿宋"/>
        </w:rPr>
      </w:pPr>
      <w:r>
        <w:rPr>
          <w:rFonts w:hint="eastAsia" w:ascii="仿宋" w:hAnsi="仿宋" w:cs="仿宋"/>
        </w:rPr>
        <w:t>树立“绿水青山就是金山银山”理念，守住生态底线，旨在保护湿地自然生态系统的原真性和完整性，保存自然本底，保护生物多样性，确保资源的可持续发展。生态旅游的一切活动均应在不影响湿地生态系统结构和生态功能的基础上进行，以维护湿地生态平衡和湿地功能的完整性，实现人与自然的和谐相处。</w:t>
      </w:r>
    </w:p>
    <w:p>
      <w:pPr>
        <w:pStyle w:val="6"/>
        <w:numPr>
          <w:ilvl w:val="2"/>
          <w:numId w:val="63"/>
        </w:numPr>
      </w:pPr>
      <w:bookmarkStart w:id="456" w:name="_Toc113925564"/>
      <w:bookmarkStart w:id="457" w:name="_Toc113925816"/>
      <w:r>
        <w:rPr>
          <w:rFonts w:hint="eastAsia"/>
        </w:rPr>
        <w:t>可持续发展的原则</w:t>
      </w:r>
      <w:bookmarkEnd w:id="456"/>
      <w:bookmarkEnd w:id="457"/>
    </w:p>
    <w:p>
      <w:pPr>
        <w:ind w:firstLine="560"/>
        <w:rPr>
          <w:rFonts w:ascii="仿宋" w:hAnsi="仿宋" w:cs="仿宋"/>
        </w:rPr>
      </w:pPr>
      <w:r>
        <w:rPr>
          <w:rFonts w:hint="eastAsia" w:ascii="仿宋" w:hAnsi="仿宋" w:cs="仿宋"/>
        </w:rPr>
        <w:t>统一规划、合理布局、集中管理、先易后难，优先发展投资少、风险低、见效快、辐射广、服务当地民众多的项目，并为今后的发展留有余地；所有建设项目必须先进行可行性论证和环境影响评估，确保生态环境和旅游资源不被破坏，实现永续利用。</w:t>
      </w:r>
    </w:p>
    <w:p>
      <w:pPr>
        <w:pStyle w:val="6"/>
        <w:numPr>
          <w:ilvl w:val="2"/>
          <w:numId w:val="63"/>
        </w:numPr>
      </w:pPr>
      <w:bookmarkStart w:id="458" w:name="_Toc113925565"/>
      <w:bookmarkStart w:id="459" w:name="_Toc113925817"/>
      <w:r>
        <w:rPr>
          <w:rFonts w:hint="eastAsia"/>
        </w:rPr>
        <w:t>和谐发展的原则</w:t>
      </w:r>
      <w:bookmarkEnd w:id="458"/>
      <w:bookmarkEnd w:id="459"/>
    </w:p>
    <w:p>
      <w:pPr>
        <w:ind w:firstLine="560"/>
        <w:rPr>
          <w:rFonts w:ascii="仿宋" w:hAnsi="仿宋" w:cs="仿宋"/>
        </w:rPr>
      </w:pPr>
      <w:r>
        <w:rPr>
          <w:rFonts w:hint="eastAsia" w:ascii="仿宋" w:hAnsi="仿宋" w:cs="仿宋"/>
        </w:rPr>
        <w:t>吸引社区群众积极参与到湿地公园的建设和管理、旅游服务等活动中来，使其真正从中受益。通过生态旅游来增加社区就业机会，改善社区基础设施，提高社区居民生活质量，从而使其成为开展生态旅游最有力的支持者，最终实现生态旅游与社区发展的双赢。</w:t>
      </w:r>
    </w:p>
    <w:p>
      <w:pPr>
        <w:pStyle w:val="6"/>
        <w:numPr>
          <w:ilvl w:val="2"/>
          <w:numId w:val="63"/>
        </w:numPr>
      </w:pPr>
      <w:bookmarkStart w:id="460" w:name="_Toc113925818"/>
      <w:bookmarkStart w:id="461" w:name="_Toc113925566"/>
      <w:r>
        <w:rPr>
          <w:rFonts w:hint="eastAsia"/>
        </w:rPr>
        <w:t>合理利用与科普教育相结合的原则</w:t>
      </w:r>
      <w:bookmarkEnd w:id="460"/>
      <w:bookmarkEnd w:id="461"/>
    </w:p>
    <w:p>
      <w:pPr>
        <w:ind w:firstLine="560"/>
        <w:rPr>
          <w:rFonts w:ascii="仿宋" w:hAnsi="仿宋" w:cs="仿宋"/>
        </w:rPr>
      </w:pPr>
      <w:r>
        <w:rPr>
          <w:rFonts w:hint="eastAsia" w:ascii="仿宋" w:hAnsi="仿宋" w:cs="仿宋"/>
        </w:rPr>
        <w:t>合理利用要把科普教育及生态体验融为一体，通过丰富多彩的形式，使游人享受自然、陶冶情操、增长知识，提高环保意识。</w:t>
      </w:r>
    </w:p>
    <w:p>
      <w:pPr>
        <w:pStyle w:val="5"/>
        <w:numPr>
          <w:ilvl w:val="1"/>
          <w:numId w:val="63"/>
        </w:numPr>
        <w:spacing w:before="197"/>
      </w:pPr>
      <w:bookmarkStart w:id="462" w:name="_Toc12940"/>
      <w:bookmarkStart w:id="463" w:name="_Toc113925819"/>
      <w:bookmarkStart w:id="464" w:name="_Toc113925567"/>
      <w:bookmarkStart w:id="465" w:name="_Toc117114396"/>
      <w:bookmarkStart w:id="466" w:name="_Toc32558"/>
      <w:bookmarkStart w:id="467" w:name="_Toc114084668"/>
      <w:r>
        <w:rPr>
          <w:rFonts w:hint="eastAsia"/>
        </w:rPr>
        <w:t>资源利用方式</w:t>
      </w:r>
      <w:bookmarkEnd w:id="462"/>
      <w:bookmarkEnd w:id="463"/>
      <w:bookmarkEnd w:id="464"/>
      <w:bookmarkEnd w:id="465"/>
      <w:bookmarkEnd w:id="466"/>
      <w:bookmarkEnd w:id="467"/>
    </w:p>
    <w:p>
      <w:pPr>
        <w:ind w:firstLine="560"/>
        <w:rPr>
          <w:rFonts w:ascii="仿宋" w:hAnsi="仿宋" w:cs="仿宋"/>
        </w:rPr>
      </w:pPr>
      <w:r>
        <w:rPr>
          <w:rFonts w:hint="eastAsia" w:ascii="仿宋" w:hAnsi="仿宋" w:cs="仿宋"/>
        </w:rPr>
        <w:t>仙阳湖国家湿地公园资源利用方式从生态保护角度出发，在保护湿地生物多样性、确保其生态功能不遭到破坏和丧失的前提下，充分利用仙阳湖湿地及周边的自然、生物、景观和文化资源，实行综合开发，合理规划和实施资源的开发。</w:t>
      </w:r>
    </w:p>
    <w:p>
      <w:pPr>
        <w:pStyle w:val="5"/>
        <w:numPr>
          <w:ilvl w:val="1"/>
          <w:numId w:val="45"/>
        </w:numPr>
        <w:spacing w:before="197"/>
      </w:pPr>
      <w:bookmarkStart w:id="468" w:name="_Toc113925820"/>
      <w:bookmarkStart w:id="469" w:name="_Toc117114397"/>
      <w:bookmarkStart w:id="470" w:name="_Toc113925568"/>
      <w:r>
        <w:rPr>
          <w:rFonts w:hint="eastAsia"/>
        </w:rPr>
        <w:t>环境容量及游客容量预测</w:t>
      </w:r>
      <w:bookmarkEnd w:id="468"/>
      <w:bookmarkEnd w:id="469"/>
      <w:bookmarkEnd w:id="470"/>
    </w:p>
    <w:p>
      <w:pPr>
        <w:pStyle w:val="47"/>
        <w:numPr>
          <w:ilvl w:val="0"/>
          <w:numId w:val="64"/>
        </w:numPr>
        <w:ind w:firstLineChars="0"/>
        <w:rPr>
          <w:rFonts w:cs="Times New Roman"/>
        </w:rPr>
      </w:pPr>
      <w:r>
        <w:rPr>
          <w:rFonts w:hint="eastAsia" w:cs="Times New Roman"/>
        </w:rPr>
        <w:t>环境容量</w:t>
      </w:r>
    </w:p>
    <w:p>
      <w:pPr>
        <w:ind w:firstLine="560"/>
        <w:rPr>
          <w:rFonts w:cs="Times New Roman"/>
        </w:rPr>
      </w:pPr>
      <w:r>
        <w:rPr>
          <w:rFonts w:hint="eastAsia" w:cs="Times New Roman"/>
        </w:rPr>
        <w:t>环境容量是指在确保生态环境不退化、旅游资源质量不下降、自然生态平衡不受破坏的前提下，满足游客舒适、安全、卫生、方便等需求，在一定时间和空间范围内，允许容纳游客的最大承载能力。合理的容量可使自然环境损害降到最低，同时不降低游客体验质量。湿地公园的环境容量主要取决于生态容量的大小，分瞬时环境容量、日环境容量、年环境容量三个层次。</w:t>
      </w:r>
    </w:p>
    <w:p>
      <w:pPr>
        <w:pStyle w:val="47"/>
        <w:numPr>
          <w:ilvl w:val="0"/>
          <w:numId w:val="64"/>
        </w:numPr>
        <w:ind w:firstLineChars="0"/>
        <w:rPr>
          <w:rFonts w:cs="Times New Roman"/>
        </w:rPr>
      </w:pPr>
      <w:r>
        <w:rPr>
          <w:rFonts w:hint="eastAsia" w:cs="Times New Roman"/>
        </w:rPr>
        <w:t>环境容量计算的原则</w:t>
      </w:r>
    </w:p>
    <w:p>
      <w:pPr>
        <w:ind w:firstLine="560"/>
        <w:rPr>
          <w:rFonts w:cs="Times New Roman"/>
        </w:rPr>
      </w:pPr>
      <w:r>
        <w:rPr>
          <w:rFonts w:hint="eastAsia" w:cs="Times New Roman"/>
        </w:rPr>
        <w:t>① 可持续发展原则：环境容量的测算除了必须保证湿地公园内的旅游资源免</w:t>
      </w:r>
      <w:r>
        <w:rPr>
          <w:rFonts w:hint="eastAsia" w:ascii="仿宋" w:hAnsi="仿宋" w:cs="仿宋"/>
        </w:rPr>
        <w:t>受“超负荷”的人</w:t>
      </w:r>
      <w:r>
        <w:rPr>
          <w:rFonts w:hint="eastAsia" w:cs="Times New Roman"/>
        </w:rPr>
        <w:t>为破坏，保持其自然的湿地景观特色和良好的游览环境，还要特别保护水资源和生物多样性。不仅要通过生态旅游获取良好的经济效益，更要使旅游资源能被子孙后代持续有效地利用。</w:t>
      </w:r>
    </w:p>
    <w:p>
      <w:pPr>
        <w:ind w:firstLine="560"/>
        <w:rPr>
          <w:rFonts w:cs="Times New Roman"/>
        </w:rPr>
      </w:pPr>
      <w:r>
        <w:rPr>
          <w:rFonts w:hint="eastAsia" w:cs="Times New Roman"/>
        </w:rPr>
        <w:t>② 舒适度原则：需满足游客的兴趣、舒适度与期望，以取得游览、度假、休闲、康养的最佳效果。</w:t>
      </w:r>
    </w:p>
    <w:p>
      <w:pPr>
        <w:ind w:firstLine="560"/>
        <w:rPr>
          <w:rFonts w:cs="Times New Roman"/>
        </w:rPr>
      </w:pPr>
      <w:r>
        <w:rPr>
          <w:rFonts w:hint="eastAsia" w:cs="Times New Roman"/>
        </w:rPr>
        <w:t>③ 安全卫生原则：保障游客的人身安全，提供安全、卫生、方便的旅游环境。</w:t>
      </w:r>
    </w:p>
    <w:p>
      <w:pPr>
        <w:pStyle w:val="47"/>
        <w:numPr>
          <w:ilvl w:val="0"/>
          <w:numId w:val="64"/>
        </w:numPr>
        <w:ind w:firstLineChars="0"/>
        <w:rPr>
          <w:rFonts w:cs="Times New Roman"/>
        </w:rPr>
      </w:pPr>
      <w:r>
        <w:rPr>
          <w:rFonts w:hint="eastAsia" w:cs="Times New Roman"/>
        </w:rPr>
        <w:t>计算方法</w:t>
      </w:r>
    </w:p>
    <w:p>
      <w:pPr>
        <w:ind w:firstLine="560"/>
        <w:rPr>
          <w:rFonts w:cs="Times New Roman"/>
        </w:rPr>
      </w:pPr>
      <w:r>
        <w:rPr>
          <w:rFonts w:hint="eastAsia" w:cs="Times New Roman"/>
        </w:rPr>
        <w:t>综合考虑仙阳湖国家湿地公园游客游览的组织方式，选择线路法进行游客容量计算：</w:t>
      </w:r>
    </w:p>
    <w:p>
      <w:pPr>
        <w:ind w:firstLine="560"/>
        <w:rPr>
          <w:rFonts w:cs="Times New Roman"/>
        </w:rPr>
      </w:pPr>
      <w:r>
        <w:rPr>
          <w:rFonts w:hint="eastAsia" w:cs="Times New Roman"/>
        </w:rPr>
        <w:t>① 线路法</w:t>
      </w:r>
    </w:p>
    <w:p>
      <w:pPr>
        <w:ind w:firstLine="560"/>
        <w:rPr>
          <w:rFonts w:cs="Times New Roman"/>
        </w:rPr>
      </w:pPr>
      <w:r>
        <w:rPr>
          <w:rFonts w:hint="eastAsia" w:cs="Times New Roman"/>
        </w:rPr>
        <w:t>线路法又叫游道法。游道法分为完全游道法和不完全游道法两种。完全游道即进出口不在同一位置；不完全游道法即进出口在同一位置，游客游至终点必须按原路返回。</w:t>
      </w:r>
    </w:p>
    <w:p>
      <w:pPr>
        <w:ind w:firstLine="560"/>
        <w:rPr>
          <w:rFonts w:cs="Times New Roman"/>
        </w:rPr>
      </w:pPr>
      <w:r>
        <w:rPr>
          <w:rFonts w:hint="eastAsia" w:cs="Times New Roman"/>
        </w:rPr>
        <w:t>完全游道法计算公式：C＝A×D÷B.。</w:t>
      </w:r>
    </w:p>
    <w:p>
      <w:pPr>
        <w:ind w:firstLine="560"/>
        <w:rPr>
          <w:rFonts w:cs="Times New Roman"/>
        </w:rPr>
      </w:pPr>
      <w:r>
        <w:rPr>
          <w:rFonts w:hint="eastAsia" w:cs="Times New Roman"/>
        </w:rPr>
        <w:t>不完全游道的计算方法：C＝A×D÷（B＋B×E÷F）</w:t>
      </w:r>
    </w:p>
    <w:p>
      <w:pPr>
        <w:ind w:firstLine="560"/>
        <w:rPr>
          <w:rFonts w:cs="Times New Roman"/>
        </w:rPr>
      </w:pPr>
      <w:r>
        <w:rPr>
          <w:rFonts w:hint="eastAsia" w:cs="Times New Roman"/>
        </w:rPr>
        <w:t>式中：C-环境日容量；</w:t>
      </w:r>
    </w:p>
    <w:p>
      <w:pPr>
        <w:ind w:firstLine="1400" w:firstLineChars="500"/>
        <w:rPr>
          <w:rFonts w:cs="Times New Roman"/>
        </w:rPr>
      </w:pPr>
      <w:r>
        <w:rPr>
          <w:rFonts w:hint="eastAsia" w:cs="Times New Roman"/>
        </w:rPr>
        <w:t>A-游道全长；</w:t>
      </w:r>
    </w:p>
    <w:p>
      <w:pPr>
        <w:ind w:firstLine="1400" w:firstLineChars="500"/>
        <w:rPr>
          <w:rFonts w:cs="Times New Roman"/>
        </w:rPr>
      </w:pPr>
      <w:r>
        <w:rPr>
          <w:rFonts w:hint="eastAsia" w:cs="Times New Roman"/>
        </w:rPr>
        <w:t>B-游客占用合理的游道长度；</w:t>
      </w:r>
    </w:p>
    <w:p>
      <w:pPr>
        <w:ind w:firstLine="1400" w:firstLineChars="500"/>
        <w:rPr>
          <w:rFonts w:cs="Times New Roman"/>
        </w:rPr>
      </w:pPr>
      <w:r>
        <w:rPr>
          <w:rFonts w:hint="eastAsia" w:cs="Times New Roman"/>
        </w:rPr>
        <w:t>D-周转率（D＝景区开放时间÷游完全游道所需时间）；</w:t>
      </w:r>
    </w:p>
    <w:p>
      <w:pPr>
        <w:ind w:firstLine="1400" w:firstLineChars="500"/>
        <w:rPr>
          <w:rFonts w:cs="Times New Roman"/>
        </w:rPr>
      </w:pPr>
      <w:r>
        <w:rPr>
          <w:rFonts w:hint="eastAsia" w:cs="Times New Roman"/>
        </w:rPr>
        <w:t>F-游完全游道所需时间；</w:t>
      </w:r>
    </w:p>
    <w:p>
      <w:pPr>
        <w:ind w:firstLine="1400" w:firstLineChars="500"/>
        <w:rPr>
          <w:rFonts w:cs="Times New Roman"/>
        </w:rPr>
      </w:pPr>
      <w:r>
        <w:rPr>
          <w:rFonts w:hint="eastAsia" w:cs="Times New Roman"/>
        </w:rPr>
        <w:t>E-沿游道返回所需时间。</w:t>
      </w:r>
    </w:p>
    <w:p>
      <w:pPr>
        <w:ind w:firstLine="560"/>
        <w:rPr>
          <w:rFonts w:cs="Times New Roman"/>
        </w:rPr>
      </w:pPr>
      <w:r>
        <w:rPr>
          <w:rFonts w:hint="eastAsia" w:cs="Times New Roman"/>
        </w:rPr>
        <w:t>② 面积法</w:t>
      </w:r>
    </w:p>
    <w:p>
      <w:pPr>
        <w:ind w:firstLine="0" w:firstLineChars="0"/>
        <w:jc w:val="center"/>
        <w:rPr>
          <w:rFonts w:cs="Times New Roman"/>
        </w:rPr>
      </w:pPr>
      <w:r>
        <w:rPr>
          <w:rFonts w:hint="eastAsia" w:cs="Times New Roman"/>
        </w:rPr>
        <w:t>C＝A×D÷a</w:t>
      </w:r>
    </w:p>
    <w:p>
      <w:pPr>
        <w:ind w:firstLine="560"/>
        <w:rPr>
          <w:rFonts w:cs="Times New Roman"/>
        </w:rPr>
      </w:pPr>
      <w:r>
        <w:rPr>
          <w:rFonts w:hint="eastAsia" w:cs="Times New Roman"/>
        </w:rPr>
        <w:t>式中：C-环境日容量；</w:t>
      </w:r>
    </w:p>
    <w:p>
      <w:pPr>
        <w:ind w:firstLine="1400" w:firstLineChars="500"/>
        <w:rPr>
          <w:rFonts w:cs="Times New Roman"/>
        </w:rPr>
      </w:pPr>
      <w:r>
        <w:rPr>
          <w:rFonts w:cs="Times New Roman"/>
        </w:rPr>
        <w:t>A-</w:t>
      </w:r>
      <w:r>
        <w:rPr>
          <w:rFonts w:hint="eastAsia" w:cs="Times New Roman"/>
        </w:rPr>
        <w:t>可游览面积；</w:t>
      </w:r>
    </w:p>
    <w:p>
      <w:pPr>
        <w:ind w:firstLine="1400" w:firstLineChars="500"/>
        <w:rPr>
          <w:rFonts w:cs="Times New Roman"/>
        </w:rPr>
      </w:pPr>
      <w:r>
        <w:rPr>
          <w:rFonts w:hint="eastAsia" w:cs="Times New Roman"/>
        </w:rPr>
        <w:t>a-个人应占面积；</w:t>
      </w:r>
    </w:p>
    <w:p>
      <w:pPr>
        <w:ind w:firstLine="1400" w:firstLineChars="500"/>
        <w:rPr>
          <w:rFonts w:cs="Times New Roman"/>
        </w:rPr>
      </w:pPr>
      <w:r>
        <w:rPr>
          <w:rFonts w:hint="eastAsia" w:cs="Times New Roman"/>
        </w:rPr>
        <w:t>D：周转率。</w:t>
      </w:r>
    </w:p>
    <w:p>
      <w:pPr>
        <w:pStyle w:val="47"/>
        <w:numPr>
          <w:ilvl w:val="0"/>
          <w:numId w:val="64"/>
        </w:numPr>
        <w:ind w:firstLineChars="0"/>
        <w:rPr>
          <w:rFonts w:cs="Times New Roman"/>
        </w:rPr>
      </w:pPr>
      <w:r>
        <w:rPr>
          <w:rFonts w:hint="eastAsia" w:cs="Times New Roman"/>
        </w:rPr>
        <w:t>环境容量计算结果</w:t>
      </w:r>
    </w:p>
    <w:p>
      <w:pPr>
        <w:ind w:firstLine="560"/>
        <w:rPr>
          <w:rFonts w:cs="Times New Roman"/>
        </w:rPr>
      </w:pPr>
      <w:r>
        <w:rPr>
          <w:rFonts w:hint="eastAsia" w:cs="Times New Roman"/>
        </w:rPr>
        <w:t>① 日环境容量</w:t>
      </w:r>
    </w:p>
    <w:p>
      <w:pPr>
        <w:ind w:firstLine="560"/>
        <w:rPr>
          <w:rFonts w:cs="Times New Roman"/>
        </w:rPr>
      </w:pPr>
      <w:r>
        <w:rPr>
          <w:rFonts w:hint="eastAsia" w:cs="Times New Roman"/>
        </w:rPr>
        <w:t>综合考虑湿地公园开展生态旅游区域的景区景点分布、游览方式和地形地貌等因素，本次规划的环境容量综合采用面积法和线路法计算。湿地公园的日环境容量为</w:t>
      </w:r>
      <w:r>
        <w:rPr>
          <w:rFonts w:cs="Times New Roman"/>
        </w:rPr>
        <w:t>4688</w:t>
      </w:r>
      <w:r>
        <w:rPr>
          <w:rFonts w:hint="eastAsia" w:cs="Times New Roman"/>
        </w:rPr>
        <w:t>人次/日。</w:t>
      </w:r>
    </w:p>
    <w:p>
      <w:pPr>
        <w:ind w:firstLine="560"/>
        <w:rPr>
          <w:rFonts w:cs="Times New Roman"/>
        </w:rPr>
      </w:pPr>
      <w:r>
        <w:rPr>
          <w:rFonts w:hint="eastAsia" w:cs="Times New Roman"/>
        </w:rPr>
        <w:t>② 年环境容量</w:t>
      </w:r>
    </w:p>
    <w:p>
      <w:pPr>
        <w:ind w:firstLine="560"/>
        <w:rPr>
          <w:rFonts w:cs="Times New Roman"/>
        </w:rPr>
      </w:pPr>
      <w:r>
        <w:rPr>
          <w:rFonts w:hint="eastAsia" w:cs="Times New Roman"/>
        </w:rPr>
        <w:t>根据气候特征和区位条件等因素综合分析，湿地公园6～10月为旺季1</w:t>
      </w:r>
      <w:r>
        <w:rPr>
          <w:rFonts w:cs="Times New Roman"/>
        </w:rPr>
        <w:t>22</w:t>
      </w:r>
      <w:r>
        <w:rPr>
          <w:rFonts w:hint="eastAsia" w:cs="Times New Roman"/>
        </w:rPr>
        <w:t>天，</w:t>
      </w:r>
      <w:r>
        <w:rPr>
          <w:rFonts w:cs="Times New Roman"/>
        </w:rPr>
        <w:t>3</w:t>
      </w:r>
      <w:r>
        <w:rPr>
          <w:rFonts w:hint="eastAsia" w:cs="Times New Roman"/>
        </w:rPr>
        <w:t>、4、</w:t>
      </w:r>
      <w:r>
        <w:rPr>
          <w:rFonts w:cs="Times New Roman"/>
        </w:rPr>
        <w:t>5</w:t>
      </w:r>
      <w:r>
        <w:rPr>
          <w:rFonts w:hint="eastAsia" w:cs="Times New Roman"/>
        </w:rPr>
        <w:t>、1</w:t>
      </w:r>
      <w:r>
        <w:rPr>
          <w:rFonts w:cs="Times New Roman"/>
        </w:rPr>
        <w:t>0</w:t>
      </w:r>
      <w:r>
        <w:rPr>
          <w:rFonts w:hint="eastAsia" w:cs="Times New Roman"/>
        </w:rPr>
        <w:t>月为平季1</w:t>
      </w:r>
      <w:r>
        <w:rPr>
          <w:rFonts w:cs="Times New Roman"/>
        </w:rPr>
        <w:t>23</w:t>
      </w:r>
      <w:r>
        <w:rPr>
          <w:rFonts w:hint="eastAsia" w:cs="Times New Roman"/>
        </w:rPr>
        <w:t>天，1、2、</w:t>
      </w:r>
      <w:r>
        <w:rPr>
          <w:rFonts w:cs="Times New Roman"/>
        </w:rPr>
        <w:t>11</w:t>
      </w:r>
      <w:r>
        <w:rPr>
          <w:rFonts w:hint="eastAsia" w:cs="Times New Roman"/>
        </w:rPr>
        <w:t>、12月为淡季12</w:t>
      </w:r>
      <w:r>
        <w:rPr>
          <w:rFonts w:cs="Times New Roman"/>
        </w:rPr>
        <w:t>0</w:t>
      </w:r>
      <w:r>
        <w:rPr>
          <w:rFonts w:hint="eastAsia" w:cs="Times New Roman"/>
        </w:rPr>
        <w:t>天。旺季以理论日容量100%计算，平季以65%计算，淡季以20%计算，年环境容量为</w:t>
      </w:r>
      <w:r>
        <w:rPr>
          <w:rFonts w:cs="Times New Roman"/>
        </w:rPr>
        <w:t>105.93</w:t>
      </w:r>
      <w:r>
        <w:rPr>
          <w:rFonts w:hint="eastAsia" w:cs="Times New Roman"/>
        </w:rPr>
        <w:t>万人次/年。从环境容量上看，具有良好的发展潜力。从旅游发展与环境保护的角度看，环境容量无论近期、中期或远期都不会成为旅游发展的限制因子，只需对节假日客流进行合理的控制和分流，控制景区或景点的游客量不超过环境容量即可。</w:t>
      </w:r>
    </w:p>
    <w:p>
      <w:pPr>
        <w:pStyle w:val="14"/>
        <w:keepNext/>
        <w:spacing w:before="197" w:after="0" w:afterLines="0"/>
        <w:rPr>
          <w:rFonts w:ascii="黑体" w:hAnsi="黑体" w:cs="黑体"/>
          <w:sz w:val="24"/>
          <w:szCs w:val="24"/>
        </w:rPr>
      </w:pPr>
      <w:r>
        <w:rPr>
          <w:rFonts w:hint="eastAsia" w:ascii="黑体" w:hAnsi="黑体" w:cs="黑体"/>
          <w:sz w:val="24"/>
          <w:szCs w:val="24"/>
        </w:rPr>
        <w:t>仙阳湖国家湿地公园年合理游客量计算表</w:t>
      </w:r>
    </w:p>
    <w:p>
      <w:pPr>
        <w:spacing w:line="240" w:lineRule="auto"/>
        <w:ind w:firstLine="0" w:firstLineChars="0"/>
        <w:rPr>
          <w:rFonts w:cs="Times New Roman"/>
          <w:sz w:val="21"/>
          <w:szCs w:val="21"/>
        </w:rPr>
      </w:pPr>
      <w:r>
        <w:rPr>
          <w:rFonts w:hint="eastAsia" w:cs="Times New Roman"/>
          <w:sz w:val="21"/>
          <w:szCs w:val="21"/>
        </w:rPr>
        <w:t>表</w:t>
      </w:r>
      <w:r>
        <w:rPr>
          <w:rFonts w:cs="Times New Roman"/>
          <w:sz w:val="21"/>
          <w:szCs w:val="21"/>
        </w:rPr>
        <w:t xml:space="preserve"> </w:t>
      </w:r>
      <w:r>
        <w:rPr>
          <w:rFonts w:cs="Times New Roman"/>
          <w:sz w:val="21"/>
          <w:szCs w:val="21"/>
        </w:rPr>
        <w:fldChar w:fldCharType="begin"/>
      </w:r>
      <w:r>
        <w:rPr>
          <w:rFonts w:cs="Times New Roman"/>
          <w:sz w:val="21"/>
          <w:szCs w:val="21"/>
        </w:rPr>
        <w:instrText xml:space="preserve"> STYLEREF 1 \s </w:instrText>
      </w:r>
      <w:r>
        <w:rPr>
          <w:rFonts w:cs="Times New Roman"/>
          <w:sz w:val="21"/>
          <w:szCs w:val="21"/>
        </w:rPr>
        <w:fldChar w:fldCharType="separate"/>
      </w:r>
      <w:r>
        <w:rPr>
          <w:rFonts w:cs="Times New Roman"/>
          <w:sz w:val="21"/>
          <w:szCs w:val="21"/>
        </w:rPr>
        <w:t>9</w:t>
      </w:r>
      <w:r>
        <w:rPr>
          <w:rFonts w:cs="Times New Roman"/>
          <w:sz w:val="21"/>
          <w:szCs w:val="21"/>
        </w:rPr>
        <w:fldChar w:fldCharType="end"/>
      </w:r>
      <w:r>
        <w:rPr>
          <w:rFonts w:cs="Times New Roman"/>
          <w:sz w:val="21"/>
          <w:szCs w:val="21"/>
        </w:rPr>
        <w:t>-</w:t>
      </w:r>
      <w:r>
        <w:rPr>
          <w:rFonts w:cs="Times New Roman"/>
          <w:sz w:val="21"/>
          <w:szCs w:val="21"/>
        </w:rPr>
        <w:fldChar w:fldCharType="begin"/>
      </w:r>
      <w:r>
        <w:rPr>
          <w:rFonts w:cs="Times New Roman"/>
          <w:sz w:val="21"/>
          <w:szCs w:val="21"/>
        </w:rPr>
        <w:instrText xml:space="preserve"> SEQ 表 \* ARABIC \s 1 </w:instrText>
      </w:r>
      <w:r>
        <w:rPr>
          <w:rFonts w:cs="Times New Roman"/>
          <w:sz w:val="21"/>
          <w:szCs w:val="21"/>
        </w:rPr>
        <w:fldChar w:fldCharType="separate"/>
      </w:r>
      <w:r>
        <w:rPr>
          <w:rFonts w:cs="Times New Roman"/>
          <w:sz w:val="21"/>
          <w:szCs w:val="21"/>
        </w:rPr>
        <w:t>1</w:t>
      </w:r>
      <w:r>
        <w:rPr>
          <w:rFonts w:cs="Times New Roman"/>
          <w:sz w:val="21"/>
          <w:szCs w:val="21"/>
        </w:rPr>
        <w:fldChar w:fldCharType="end"/>
      </w:r>
      <w:r>
        <w:rPr>
          <w:rFonts w:cs="Times New Roman"/>
          <w:sz w:val="21"/>
          <w:szCs w:val="21"/>
        </w:rPr>
        <w:t xml:space="preserve"> </w:t>
      </w:r>
    </w:p>
    <w:tbl>
      <w:tblPr>
        <w:tblStyle w:val="33"/>
        <w:tblW w:w="0" w:type="auto"/>
        <w:tblInd w:w="1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1270"/>
        <w:gridCol w:w="1170"/>
        <w:gridCol w:w="1080"/>
        <w:gridCol w:w="1510"/>
        <w:gridCol w:w="1000"/>
        <w:gridCol w:w="970"/>
        <w:gridCol w:w="1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 w:hRule="atLeast"/>
        </w:trPr>
        <w:tc>
          <w:tcPr>
            <w:tcW w:w="720" w:type="dxa"/>
            <w:vAlign w:val="center"/>
          </w:tcPr>
          <w:p>
            <w:pPr>
              <w:pStyle w:val="44"/>
              <w:rPr>
                <w:rFonts w:eastAsia="仿宋" w:cs="Times New Roman"/>
                <w:szCs w:val="21"/>
              </w:rPr>
            </w:pPr>
            <w:r>
              <w:rPr>
                <w:rFonts w:hint="eastAsia" w:eastAsia="仿宋" w:cs="Times New Roman"/>
                <w:szCs w:val="21"/>
              </w:rPr>
              <w:t>序号</w:t>
            </w:r>
          </w:p>
        </w:tc>
        <w:tc>
          <w:tcPr>
            <w:tcW w:w="1270" w:type="dxa"/>
            <w:vAlign w:val="center"/>
          </w:tcPr>
          <w:p>
            <w:pPr>
              <w:pStyle w:val="44"/>
              <w:rPr>
                <w:rFonts w:eastAsia="仿宋" w:cs="Times New Roman"/>
                <w:szCs w:val="21"/>
              </w:rPr>
            </w:pPr>
            <w:r>
              <w:rPr>
                <w:rFonts w:hint="eastAsia" w:eastAsia="仿宋" w:cs="Times New Roman"/>
                <w:szCs w:val="21"/>
              </w:rPr>
              <w:t>功能区</w:t>
            </w:r>
          </w:p>
        </w:tc>
        <w:tc>
          <w:tcPr>
            <w:tcW w:w="1170" w:type="dxa"/>
            <w:vAlign w:val="center"/>
          </w:tcPr>
          <w:p>
            <w:pPr>
              <w:pStyle w:val="44"/>
              <w:rPr>
                <w:rFonts w:eastAsia="仿宋" w:cs="Times New Roman"/>
                <w:szCs w:val="21"/>
              </w:rPr>
            </w:pPr>
            <w:r>
              <w:rPr>
                <w:rFonts w:hint="eastAsia" w:eastAsia="仿宋" w:cs="Times New Roman"/>
                <w:szCs w:val="21"/>
              </w:rPr>
              <w:t>计算方法</w:t>
            </w:r>
          </w:p>
        </w:tc>
        <w:tc>
          <w:tcPr>
            <w:tcW w:w="1080" w:type="dxa"/>
            <w:vAlign w:val="center"/>
          </w:tcPr>
          <w:p>
            <w:pPr>
              <w:pStyle w:val="44"/>
              <w:rPr>
                <w:rFonts w:eastAsia="仿宋" w:cs="Times New Roman"/>
                <w:szCs w:val="21"/>
              </w:rPr>
            </w:pPr>
            <w:r>
              <w:rPr>
                <w:rFonts w:hint="eastAsia" w:eastAsia="仿宋" w:cs="Times New Roman"/>
                <w:szCs w:val="21"/>
              </w:rPr>
              <w:t>规划面积</w:t>
            </w:r>
          </w:p>
        </w:tc>
        <w:tc>
          <w:tcPr>
            <w:tcW w:w="1510" w:type="dxa"/>
            <w:vAlign w:val="center"/>
          </w:tcPr>
          <w:p>
            <w:pPr>
              <w:pStyle w:val="44"/>
              <w:rPr>
                <w:rFonts w:eastAsia="仿宋" w:cs="Times New Roman"/>
                <w:szCs w:val="21"/>
              </w:rPr>
            </w:pPr>
            <w:r>
              <w:rPr>
                <w:rFonts w:hint="eastAsia" w:eastAsia="仿宋" w:cs="Times New Roman"/>
                <w:szCs w:val="21"/>
              </w:rPr>
              <w:t>可游览面积或游步道长度</w:t>
            </w:r>
          </w:p>
        </w:tc>
        <w:tc>
          <w:tcPr>
            <w:tcW w:w="1000" w:type="dxa"/>
            <w:vAlign w:val="center"/>
          </w:tcPr>
          <w:p>
            <w:pPr>
              <w:pStyle w:val="44"/>
              <w:rPr>
                <w:rFonts w:eastAsia="仿宋" w:cs="Times New Roman"/>
                <w:szCs w:val="21"/>
              </w:rPr>
            </w:pPr>
            <w:r>
              <w:rPr>
                <w:rFonts w:hint="eastAsia" w:eastAsia="仿宋" w:cs="Times New Roman"/>
                <w:szCs w:val="21"/>
              </w:rPr>
              <w:t>指标</w:t>
            </w:r>
          </w:p>
        </w:tc>
        <w:tc>
          <w:tcPr>
            <w:tcW w:w="970" w:type="dxa"/>
            <w:vAlign w:val="center"/>
          </w:tcPr>
          <w:p>
            <w:pPr>
              <w:pStyle w:val="44"/>
              <w:rPr>
                <w:rFonts w:eastAsia="仿宋" w:cs="Times New Roman"/>
                <w:szCs w:val="21"/>
              </w:rPr>
            </w:pPr>
            <w:r>
              <w:rPr>
                <w:rFonts w:hint="eastAsia" w:eastAsia="仿宋" w:cs="Times New Roman"/>
                <w:szCs w:val="21"/>
              </w:rPr>
              <w:t>周转率</w:t>
            </w:r>
          </w:p>
        </w:tc>
        <w:tc>
          <w:tcPr>
            <w:tcW w:w="1040" w:type="dxa"/>
            <w:vAlign w:val="center"/>
          </w:tcPr>
          <w:p>
            <w:pPr>
              <w:pStyle w:val="44"/>
              <w:rPr>
                <w:rFonts w:eastAsia="仿宋" w:cs="Times New Roman"/>
                <w:szCs w:val="21"/>
              </w:rPr>
            </w:pPr>
            <w:r>
              <w:rPr>
                <w:rFonts w:hint="eastAsia" w:eastAsia="仿宋" w:cs="Times New Roman"/>
                <w:szCs w:val="21"/>
              </w:rPr>
              <w:t>日环境容量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 w:hRule="atLeast"/>
        </w:trPr>
        <w:tc>
          <w:tcPr>
            <w:tcW w:w="720" w:type="dxa"/>
            <w:vAlign w:val="center"/>
          </w:tcPr>
          <w:p>
            <w:pPr>
              <w:pStyle w:val="45"/>
              <w:rPr>
                <w:rFonts w:eastAsia="仿宋" w:cs="Times New Roman"/>
                <w:sz w:val="21"/>
                <w:szCs w:val="21"/>
              </w:rPr>
            </w:pPr>
            <w:r>
              <w:rPr>
                <w:rFonts w:eastAsia="仿宋" w:cs="Times New Roman"/>
                <w:sz w:val="21"/>
                <w:szCs w:val="21"/>
              </w:rPr>
              <w:t>1</w:t>
            </w:r>
          </w:p>
        </w:tc>
        <w:tc>
          <w:tcPr>
            <w:tcW w:w="1270" w:type="dxa"/>
            <w:vAlign w:val="center"/>
          </w:tcPr>
          <w:p>
            <w:pPr>
              <w:pStyle w:val="45"/>
              <w:rPr>
                <w:rFonts w:eastAsia="仿宋" w:cs="Times New Roman"/>
                <w:sz w:val="21"/>
                <w:szCs w:val="21"/>
              </w:rPr>
            </w:pPr>
            <w:r>
              <w:rPr>
                <w:rFonts w:hint="eastAsia" w:eastAsia="仿宋" w:cs="Times New Roman"/>
                <w:sz w:val="21"/>
                <w:szCs w:val="21"/>
                <w:lang w:eastAsia="zh-CN"/>
              </w:rPr>
              <w:t>生态</w:t>
            </w:r>
            <w:r>
              <w:rPr>
                <w:rFonts w:hint="eastAsia" w:eastAsia="仿宋" w:cs="Times New Roman"/>
                <w:sz w:val="21"/>
                <w:szCs w:val="21"/>
              </w:rPr>
              <w:t>保育区</w:t>
            </w:r>
          </w:p>
        </w:tc>
        <w:tc>
          <w:tcPr>
            <w:tcW w:w="1170" w:type="dxa"/>
            <w:vAlign w:val="center"/>
          </w:tcPr>
          <w:p>
            <w:pPr>
              <w:pStyle w:val="45"/>
              <w:rPr>
                <w:rFonts w:eastAsia="仿宋" w:cs="Times New Roman"/>
                <w:sz w:val="21"/>
                <w:szCs w:val="21"/>
              </w:rPr>
            </w:pPr>
            <w:r>
              <w:rPr>
                <w:rFonts w:eastAsia="仿宋" w:cs="Times New Roman"/>
                <w:sz w:val="21"/>
                <w:szCs w:val="21"/>
              </w:rPr>
              <w:t>/</w:t>
            </w:r>
          </w:p>
        </w:tc>
        <w:tc>
          <w:tcPr>
            <w:tcW w:w="1080" w:type="dxa"/>
            <w:vAlign w:val="center"/>
          </w:tcPr>
          <w:p>
            <w:pPr>
              <w:pStyle w:val="45"/>
              <w:rPr>
                <w:rFonts w:eastAsia="仿宋" w:cs="Times New Roman"/>
                <w:sz w:val="21"/>
                <w:szCs w:val="21"/>
              </w:rPr>
            </w:pPr>
          </w:p>
        </w:tc>
        <w:tc>
          <w:tcPr>
            <w:tcW w:w="1510" w:type="dxa"/>
            <w:vAlign w:val="center"/>
          </w:tcPr>
          <w:p>
            <w:pPr>
              <w:pStyle w:val="45"/>
              <w:rPr>
                <w:rFonts w:eastAsia="仿宋" w:cs="Times New Roman"/>
                <w:sz w:val="21"/>
                <w:szCs w:val="21"/>
              </w:rPr>
            </w:pPr>
            <w:r>
              <w:rPr>
                <w:rFonts w:eastAsia="仿宋" w:cs="Times New Roman"/>
                <w:sz w:val="21"/>
                <w:szCs w:val="21"/>
              </w:rPr>
              <w:t>/</w:t>
            </w:r>
          </w:p>
        </w:tc>
        <w:tc>
          <w:tcPr>
            <w:tcW w:w="1000" w:type="dxa"/>
            <w:vAlign w:val="center"/>
          </w:tcPr>
          <w:p>
            <w:pPr>
              <w:pStyle w:val="45"/>
              <w:rPr>
                <w:rFonts w:eastAsia="仿宋" w:cs="Times New Roman"/>
                <w:sz w:val="21"/>
                <w:szCs w:val="21"/>
              </w:rPr>
            </w:pPr>
            <w:r>
              <w:rPr>
                <w:rFonts w:eastAsia="仿宋" w:cs="Times New Roman"/>
                <w:sz w:val="21"/>
                <w:szCs w:val="21"/>
              </w:rPr>
              <w:t>/</w:t>
            </w:r>
          </w:p>
        </w:tc>
        <w:tc>
          <w:tcPr>
            <w:tcW w:w="970" w:type="dxa"/>
            <w:vAlign w:val="center"/>
          </w:tcPr>
          <w:p>
            <w:pPr>
              <w:pStyle w:val="45"/>
              <w:rPr>
                <w:rFonts w:eastAsia="仿宋" w:cs="Times New Roman"/>
                <w:sz w:val="21"/>
                <w:szCs w:val="21"/>
              </w:rPr>
            </w:pPr>
            <w:r>
              <w:rPr>
                <w:rFonts w:eastAsia="仿宋" w:cs="Times New Roman"/>
                <w:sz w:val="21"/>
                <w:szCs w:val="21"/>
              </w:rPr>
              <w:t>/</w:t>
            </w:r>
          </w:p>
        </w:tc>
        <w:tc>
          <w:tcPr>
            <w:tcW w:w="1040" w:type="dxa"/>
            <w:vAlign w:val="center"/>
          </w:tcPr>
          <w:p>
            <w:pPr>
              <w:pStyle w:val="45"/>
              <w:rPr>
                <w:rFonts w:eastAsia="仿宋" w:cs="Times New Roman"/>
                <w:sz w:val="21"/>
                <w:szCs w:val="21"/>
              </w:rPr>
            </w:pPr>
            <w:r>
              <w:rPr>
                <w:rFonts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 w:hRule="atLeast"/>
        </w:trPr>
        <w:tc>
          <w:tcPr>
            <w:tcW w:w="720" w:type="dxa"/>
            <w:vAlign w:val="center"/>
          </w:tcPr>
          <w:p>
            <w:pPr>
              <w:pStyle w:val="45"/>
              <w:rPr>
                <w:rFonts w:eastAsia="仿宋" w:cs="Times New Roman"/>
                <w:sz w:val="21"/>
                <w:szCs w:val="21"/>
              </w:rPr>
            </w:pPr>
            <w:r>
              <w:rPr>
                <w:rFonts w:eastAsia="仿宋" w:cs="Times New Roman"/>
                <w:sz w:val="21"/>
                <w:szCs w:val="21"/>
              </w:rPr>
              <w:t>2</w:t>
            </w:r>
          </w:p>
        </w:tc>
        <w:tc>
          <w:tcPr>
            <w:tcW w:w="1270" w:type="dxa"/>
            <w:vAlign w:val="center"/>
          </w:tcPr>
          <w:p>
            <w:pPr>
              <w:pStyle w:val="45"/>
              <w:rPr>
                <w:rFonts w:eastAsia="仿宋" w:cs="Times New Roman"/>
                <w:sz w:val="21"/>
                <w:szCs w:val="21"/>
              </w:rPr>
            </w:pPr>
            <w:r>
              <w:rPr>
                <w:rFonts w:hint="eastAsia" w:eastAsia="仿宋" w:cs="Times New Roman"/>
                <w:sz w:val="21"/>
                <w:szCs w:val="21"/>
              </w:rPr>
              <w:t>合理利用区</w:t>
            </w:r>
          </w:p>
        </w:tc>
        <w:tc>
          <w:tcPr>
            <w:tcW w:w="1170" w:type="dxa"/>
            <w:vAlign w:val="center"/>
          </w:tcPr>
          <w:p>
            <w:pPr>
              <w:pStyle w:val="45"/>
              <w:rPr>
                <w:rFonts w:eastAsia="仿宋" w:cs="Times New Roman"/>
                <w:sz w:val="21"/>
                <w:szCs w:val="21"/>
              </w:rPr>
            </w:pPr>
            <w:r>
              <w:rPr>
                <w:rFonts w:hint="eastAsia" w:eastAsia="仿宋" w:cs="Times New Roman"/>
                <w:sz w:val="21"/>
                <w:szCs w:val="21"/>
              </w:rPr>
              <w:t>线路法</w:t>
            </w:r>
          </w:p>
        </w:tc>
        <w:tc>
          <w:tcPr>
            <w:tcW w:w="1080" w:type="dxa"/>
            <w:vAlign w:val="center"/>
          </w:tcPr>
          <w:p>
            <w:pPr>
              <w:pStyle w:val="45"/>
              <w:rPr>
                <w:rFonts w:eastAsia="仿宋" w:cs="Times New Roman"/>
                <w:sz w:val="21"/>
                <w:szCs w:val="21"/>
              </w:rPr>
            </w:pPr>
            <w:r>
              <w:rPr>
                <w:rFonts w:eastAsia="仿宋" w:cs="Times New Roman"/>
                <w:sz w:val="21"/>
                <w:szCs w:val="21"/>
              </w:rPr>
              <w:t>2139.16</w:t>
            </w:r>
          </w:p>
        </w:tc>
        <w:tc>
          <w:tcPr>
            <w:tcW w:w="1510" w:type="dxa"/>
            <w:vAlign w:val="center"/>
          </w:tcPr>
          <w:p>
            <w:pPr>
              <w:pStyle w:val="45"/>
              <w:rPr>
                <w:rFonts w:eastAsia="仿宋" w:cs="Times New Roman"/>
                <w:sz w:val="21"/>
                <w:szCs w:val="21"/>
              </w:rPr>
            </w:pPr>
            <w:r>
              <w:rPr>
                <w:rFonts w:eastAsia="仿宋" w:cs="Times New Roman"/>
                <w:sz w:val="21"/>
                <w:szCs w:val="21"/>
              </w:rPr>
              <w:t>29.3</w:t>
            </w:r>
          </w:p>
        </w:tc>
        <w:tc>
          <w:tcPr>
            <w:tcW w:w="1000" w:type="dxa"/>
            <w:vAlign w:val="center"/>
          </w:tcPr>
          <w:p>
            <w:pPr>
              <w:pStyle w:val="45"/>
              <w:rPr>
                <w:rFonts w:eastAsia="仿宋" w:cs="Times New Roman"/>
                <w:sz w:val="21"/>
                <w:szCs w:val="21"/>
              </w:rPr>
            </w:pPr>
            <w:r>
              <w:rPr>
                <w:rFonts w:eastAsia="仿宋" w:cs="Times New Roman"/>
                <w:sz w:val="21"/>
                <w:szCs w:val="21"/>
              </w:rPr>
              <w:t>25</w:t>
            </w:r>
            <w:r>
              <w:rPr>
                <w:rFonts w:hint="eastAsia" w:eastAsia="仿宋" w:cs="Times New Roman"/>
                <w:sz w:val="21"/>
                <w:szCs w:val="21"/>
              </w:rPr>
              <w:t>米/人</w:t>
            </w:r>
          </w:p>
        </w:tc>
        <w:tc>
          <w:tcPr>
            <w:tcW w:w="970" w:type="dxa"/>
            <w:vAlign w:val="center"/>
          </w:tcPr>
          <w:p>
            <w:pPr>
              <w:pStyle w:val="45"/>
              <w:rPr>
                <w:rFonts w:eastAsia="仿宋" w:cs="Times New Roman"/>
                <w:sz w:val="21"/>
                <w:szCs w:val="21"/>
              </w:rPr>
            </w:pPr>
            <w:r>
              <w:rPr>
                <w:rFonts w:eastAsia="仿宋" w:cs="Times New Roman"/>
                <w:sz w:val="21"/>
                <w:szCs w:val="21"/>
              </w:rPr>
              <w:t>4</w:t>
            </w:r>
          </w:p>
        </w:tc>
        <w:tc>
          <w:tcPr>
            <w:tcW w:w="1040" w:type="dxa"/>
            <w:vAlign w:val="center"/>
          </w:tcPr>
          <w:p>
            <w:pPr>
              <w:pStyle w:val="45"/>
              <w:rPr>
                <w:rFonts w:eastAsia="仿宋" w:cs="Times New Roman"/>
                <w:sz w:val="21"/>
                <w:szCs w:val="21"/>
              </w:rPr>
            </w:pPr>
            <w:r>
              <w:rPr>
                <w:rFonts w:eastAsia="仿宋" w:cs="Times New Roman"/>
                <w:sz w:val="21"/>
                <w:szCs w:val="21"/>
              </w:rPr>
              <w:t>4688</w:t>
            </w:r>
          </w:p>
        </w:tc>
      </w:tr>
    </w:tbl>
    <w:p>
      <w:pPr>
        <w:pStyle w:val="5"/>
        <w:numPr>
          <w:ilvl w:val="1"/>
          <w:numId w:val="45"/>
        </w:numPr>
        <w:spacing w:before="197"/>
      </w:pPr>
      <w:bookmarkStart w:id="471" w:name="_Toc117114398"/>
      <w:bookmarkStart w:id="472" w:name="_Toc113925821"/>
      <w:bookmarkStart w:id="473" w:name="_Toc113925569"/>
      <w:r>
        <w:rPr>
          <w:rFonts w:hint="eastAsia"/>
        </w:rPr>
        <w:t>客源市场分析与游客规模分析</w:t>
      </w:r>
      <w:bookmarkEnd w:id="471"/>
      <w:bookmarkEnd w:id="472"/>
      <w:bookmarkEnd w:id="473"/>
    </w:p>
    <w:p>
      <w:pPr>
        <w:pStyle w:val="47"/>
        <w:numPr>
          <w:ilvl w:val="0"/>
          <w:numId w:val="65"/>
        </w:numPr>
        <w:ind w:firstLineChars="0"/>
        <w:rPr>
          <w:rFonts w:cs="Times New Roman"/>
        </w:rPr>
      </w:pPr>
      <w:r>
        <w:rPr>
          <w:rFonts w:hint="eastAsia" w:cs="Times New Roman"/>
        </w:rPr>
        <w:t>客源分析</w:t>
      </w:r>
    </w:p>
    <w:p>
      <w:pPr>
        <w:ind w:firstLine="560"/>
        <w:rPr>
          <w:rFonts w:cs="Times New Roman"/>
        </w:rPr>
      </w:pPr>
      <w:r>
        <w:rPr>
          <w:rFonts w:hint="eastAsia" w:cs="Times New Roman"/>
        </w:rPr>
        <w:t>一级客源市场：常德市及其周边区县。</w:t>
      </w:r>
    </w:p>
    <w:p>
      <w:pPr>
        <w:ind w:firstLine="560"/>
        <w:rPr>
          <w:rFonts w:cs="Times New Roman"/>
        </w:rPr>
      </w:pPr>
      <w:r>
        <w:rPr>
          <w:rFonts w:hint="eastAsia" w:cs="Times New Roman"/>
        </w:rPr>
        <w:t>二级客源市场：长株潭城市群、武汉城市群、洞庭湖区。张家界、三峡分流客源。</w:t>
      </w:r>
    </w:p>
    <w:p>
      <w:pPr>
        <w:ind w:firstLine="560"/>
        <w:rPr>
          <w:rFonts w:cs="Times New Roman"/>
        </w:rPr>
      </w:pPr>
      <w:r>
        <w:rPr>
          <w:rFonts w:hint="eastAsia" w:cs="Times New Roman"/>
        </w:rPr>
        <w:t>三级客源市场：除以上之外的其余省市。由于相距较远，或资源的相似性和替代性等原因，可将之作为仙阳湖国家湿地公园的机会市场，作为客源市场的补充。</w:t>
      </w:r>
    </w:p>
    <w:p>
      <w:pPr>
        <w:ind w:firstLine="560"/>
        <w:rPr>
          <w:rFonts w:cs="Times New Roman"/>
        </w:rPr>
      </w:pPr>
      <w:r>
        <w:rPr>
          <w:rFonts w:hint="eastAsia" w:cs="Times New Roman"/>
        </w:rPr>
        <w:t>（2）游客规模预测</w:t>
      </w:r>
    </w:p>
    <w:p>
      <w:pPr>
        <w:ind w:firstLine="560"/>
        <w:rPr>
          <w:rFonts w:cs="Times New Roman"/>
        </w:rPr>
      </w:pPr>
      <w:r>
        <w:rPr>
          <w:rFonts w:hint="eastAsia" w:cs="Times New Roman"/>
        </w:rPr>
        <w:t>根据对旅游客源分析并以石门县及周边景区近年来游客统计资料为基础，参考国内外重点旅游区发展的动态曲线数据，综合预测</w:t>
      </w:r>
      <w:r>
        <w:rPr>
          <w:rFonts w:cs="Times New Roman"/>
        </w:rPr>
        <w:t>2023</w:t>
      </w:r>
      <w:r>
        <w:rPr>
          <w:rFonts w:hint="eastAsia" w:cs="Times New Roman"/>
        </w:rPr>
        <w:t>年到2030年的仙阳湖国家湿地公园游客规模，为旅游服务设施建设及经济效益分析提供依据。</w:t>
      </w:r>
    </w:p>
    <w:p>
      <w:pPr>
        <w:ind w:firstLine="560"/>
        <w:rPr>
          <w:rFonts w:cs="Times New Roman"/>
        </w:rPr>
      </w:pPr>
      <w:r>
        <w:rPr>
          <w:rFonts w:hint="eastAsia" w:cs="Times New Roman"/>
        </w:rPr>
        <w:t>据《石门县</w:t>
      </w:r>
      <w:r>
        <w:rPr>
          <w:rFonts w:cs="Times New Roman"/>
        </w:rPr>
        <w:t>2020</w:t>
      </w:r>
      <w:r>
        <w:rPr>
          <w:rFonts w:hint="eastAsia" w:cs="Times New Roman"/>
        </w:rPr>
        <w:t>年国民经济和社会发展统计公报》，石门县2</w:t>
      </w:r>
      <w:r>
        <w:rPr>
          <w:rFonts w:cs="Times New Roman"/>
        </w:rPr>
        <w:t>020</w:t>
      </w:r>
      <w:r>
        <w:rPr>
          <w:rFonts w:hint="eastAsia" w:cs="Times New Roman"/>
        </w:rPr>
        <w:t>年接待旅游人数达</w:t>
      </w:r>
      <w:r>
        <w:rPr>
          <w:rFonts w:cs="Times New Roman"/>
        </w:rPr>
        <w:t>655.70</w:t>
      </w:r>
      <w:r>
        <w:rPr>
          <w:rFonts w:hint="eastAsia" w:cs="Times New Roman"/>
        </w:rPr>
        <w:t>万人次，暂取</w:t>
      </w:r>
      <w:r>
        <w:rPr>
          <w:rFonts w:cs="Times New Roman"/>
        </w:rPr>
        <w:t>5</w:t>
      </w:r>
      <w:r>
        <w:rPr>
          <w:rFonts w:hint="eastAsia" w:cs="Times New Roman"/>
        </w:rPr>
        <w:t>%作为基数，以湿地公园已有的旅游资源条件和知名度为基础，预测</w:t>
      </w:r>
      <w:r>
        <w:rPr>
          <w:rFonts w:cs="Times New Roman"/>
        </w:rPr>
        <w:t>2022</w:t>
      </w:r>
      <w:r>
        <w:rPr>
          <w:rFonts w:hint="eastAsia" w:cs="Times New Roman"/>
        </w:rPr>
        <w:t>年仙阳湖国家湿地公园将吸引约游客</w:t>
      </w:r>
      <w:r>
        <w:rPr>
          <w:rFonts w:cs="Times New Roman"/>
        </w:rPr>
        <w:t>39.7</w:t>
      </w:r>
      <w:r>
        <w:rPr>
          <w:rFonts w:hint="eastAsia" w:cs="Times New Roman"/>
        </w:rPr>
        <w:t>万人。按年均10%增长测算，到2030年，游客规模为85.1万人。预测规划期内游客数见下表9-2。</w:t>
      </w:r>
    </w:p>
    <w:p>
      <w:pPr>
        <w:pStyle w:val="14"/>
        <w:keepNext/>
        <w:spacing w:before="197" w:after="0" w:afterLines="0"/>
        <w:rPr>
          <w:rFonts w:ascii="黑体" w:hAnsi="黑体" w:cs="黑体"/>
          <w:sz w:val="24"/>
          <w:szCs w:val="24"/>
        </w:rPr>
      </w:pPr>
      <w:r>
        <w:rPr>
          <w:rFonts w:hint="eastAsia" w:ascii="黑体" w:hAnsi="黑体" w:cs="黑体"/>
          <w:sz w:val="24"/>
          <w:szCs w:val="24"/>
        </w:rPr>
        <w:t>仙阳湖国家湿地公园游客规模增长预测一览表</w:t>
      </w:r>
    </w:p>
    <w:p>
      <w:pPr>
        <w:spacing w:line="240" w:lineRule="auto"/>
        <w:ind w:firstLine="0" w:firstLineChars="0"/>
        <w:rPr>
          <w:rFonts w:cs="Times New Roman"/>
          <w:sz w:val="21"/>
          <w:szCs w:val="21"/>
        </w:rPr>
      </w:pPr>
      <w:r>
        <w:rPr>
          <w:rFonts w:hint="eastAsia" w:cs="Times New Roman"/>
          <w:sz w:val="21"/>
          <w:szCs w:val="21"/>
        </w:rPr>
        <w:t xml:space="preserve">表 </w:t>
      </w:r>
      <w:r>
        <w:rPr>
          <w:rFonts w:cs="Times New Roman"/>
          <w:sz w:val="21"/>
          <w:szCs w:val="21"/>
        </w:rPr>
        <w:fldChar w:fldCharType="begin"/>
      </w:r>
      <w:r>
        <w:rPr>
          <w:rFonts w:cs="Times New Roman"/>
          <w:sz w:val="21"/>
          <w:szCs w:val="21"/>
        </w:rPr>
        <w:instrText xml:space="preserve"> </w:instrText>
      </w:r>
      <w:r>
        <w:rPr>
          <w:rFonts w:hint="eastAsia" w:cs="Times New Roman"/>
          <w:sz w:val="21"/>
          <w:szCs w:val="21"/>
        </w:rPr>
        <w:instrText xml:space="preserve">STYLEREF 1 \s</w:instrText>
      </w:r>
      <w:r>
        <w:rPr>
          <w:rFonts w:cs="Times New Roman"/>
          <w:sz w:val="21"/>
          <w:szCs w:val="21"/>
        </w:rPr>
        <w:instrText xml:space="preserve"> </w:instrText>
      </w:r>
      <w:r>
        <w:rPr>
          <w:rFonts w:cs="Times New Roman"/>
          <w:sz w:val="21"/>
          <w:szCs w:val="21"/>
        </w:rPr>
        <w:fldChar w:fldCharType="separate"/>
      </w:r>
      <w:r>
        <w:rPr>
          <w:rFonts w:cs="Times New Roman"/>
          <w:sz w:val="21"/>
          <w:szCs w:val="21"/>
        </w:rPr>
        <w:t>9</w:t>
      </w:r>
      <w:r>
        <w:rPr>
          <w:rFonts w:cs="Times New Roman"/>
          <w:sz w:val="21"/>
          <w:szCs w:val="21"/>
        </w:rPr>
        <w:fldChar w:fldCharType="end"/>
      </w:r>
      <w:r>
        <w:rPr>
          <w:rFonts w:cs="Times New Roman"/>
          <w:sz w:val="21"/>
          <w:szCs w:val="21"/>
        </w:rPr>
        <w:t>-</w:t>
      </w:r>
      <w:r>
        <w:rPr>
          <w:rFonts w:cs="Times New Roman"/>
          <w:sz w:val="21"/>
          <w:szCs w:val="21"/>
        </w:rPr>
        <w:fldChar w:fldCharType="begin"/>
      </w:r>
      <w:r>
        <w:rPr>
          <w:rFonts w:cs="Times New Roman"/>
          <w:sz w:val="21"/>
          <w:szCs w:val="21"/>
        </w:rPr>
        <w:instrText xml:space="preserve"> </w:instrText>
      </w:r>
      <w:r>
        <w:rPr>
          <w:rFonts w:hint="eastAsia" w:cs="Times New Roman"/>
          <w:sz w:val="21"/>
          <w:szCs w:val="21"/>
        </w:rPr>
        <w:instrText xml:space="preserve">SEQ 表 \* ARABIC \s 1</w:instrText>
      </w:r>
      <w:r>
        <w:rPr>
          <w:rFonts w:cs="Times New Roman"/>
          <w:sz w:val="21"/>
          <w:szCs w:val="21"/>
        </w:rPr>
        <w:instrText xml:space="preserve"> </w:instrText>
      </w:r>
      <w:r>
        <w:rPr>
          <w:rFonts w:cs="Times New Roman"/>
          <w:sz w:val="21"/>
          <w:szCs w:val="21"/>
        </w:rPr>
        <w:fldChar w:fldCharType="separate"/>
      </w:r>
      <w:r>
        <w:rPr>
          <w:rFonts w:cs="Times New Roman"/>
          <w:sz w:val="21"/>
          <w:szCs w:val="21"/>
        </w:rPr>
        <w:t>2</w:t>
      </w:r>
      <w:r>
        <w:rPr>
          <w:rFonts w:cs="Times New Roman"/>
          <w:sz w:val="21"/>
          <w:szCs w:val="21"/>
        </w:rPr>
        <w:fldChar w:fldCharType="end"/>
      </w:r>
      <w:r>
        <w:rPr>
          <w:rFonts w:cs="Times New Roman"/>
          <w:sz w:val="21"/>
          <w:szCs w:val="21"/>
        </w:rPr>
        <w:t xml:space="preserve"> </w:t>
      </w:r>
    </w:p>
    <w:tbl>
      <w:tblPr>
        <w:tblStyle w:val="33"/>
        <w:tblW w:w="0" w:type="auto"/>
        <w:tblInd w:w="10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1"/>
        <w:gridCol w:w="1499"/>
        <w:gridCol w:w="1340"/>
        <w:gridCol w:w="1430"/>
        <w:gridCol w:w="1550"/>
        <w:gridCol w:w="16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1" w:type="dxa"/>
            <w:vAlign w:val="center"/>
          </w:tcPr>
          <w:p>
            <w:pPr>
              <w:pStyle w:val="44"/>
              <w:rPr>
                <w:rFonts w:eastAsia="仿宋" w:cs="Times New Roman"/>
                <w:szCs w:val="21"/>
              </w:rPr>
            </w:pPr>
            <w:r>
              <w:rPr>
                <w:rFonts w:hint="eastAsia" w:eastAsia="仿宋" w:cs="Times New Roman"/>
                <w:szCs w:val="21"/>
              </w:rPr>
              <w:t>年份</w:t>
            </w:r>
          </w:p>
        </w:tc>
        <w:tc>
          <w:tcPr>
            <w:tcW w:w="1499" w:type="dxa"/>
            <w:vAlign w:val="center"/>
          </w:tcPr>
          <w:p>
            <w:pPr>
              <w:pStyle w:val="44"/>
              <w:rPr>
                <w:rFonts w:eastAsia="仿宋" w:cs="Times New Roman"/>
                <w:szCs w:val="21"/>
              </w:rPr>
            </w:pPr>
            <w:r>
              <w:rPr>
                <w:rFonts w:hint="eastAsia" w:eastAsia="仿宋" w:cs="Times New Roman"/>
                <w:szCs w:val="21"/>
              </w:rPr>
              <w:t>游客量</w:t>
            </w:r>
          </w:p>
          <w:p>
            <w:pPr>
              <w:pStyle w:val="44"/>
              <w:rPr>
                <w:rFonts w:eastAsia="仿宋" w:cs="Times New Roman"/>
                <w:szCs w:val="21"/>
              </w:rPr>
            </w:pPr>
            <w:r>
              <w:rPr>
                <w:rFonts w:hint="eastAsia" w:eastAsia="仿宋" w:cs="Times New Roman"/>
                <w:szCs w:val="21"/>
              </w:rPr>
              <w:t>（万人）</w:t>
            </w:r>
          </w:p>
        </w:tc>
        <w:tc>
          <w:tcPr>
            <w:tcW w:w="1340" w:type="dxa"/>
            <w:vAlign w:val="center"/>
          </w:tcPr>
          <w:p>
            <w:pPr>
              <w:pStyle w:val="44"/>
              <w:rPr>
                <w:rFonts w:eastAsia="仿宋" w:cs="Times New Roman"/>
                <w:szCs w:val="21"/>
              </w:rPr>
            </w:pPr>
            <w:r>
              <w:rPr>
                <w:rFonts w:hint="eastAsia" w:eastAsia="仿宋" w:cs="Times New Roman"/>
                <w:szCs w:val="21"/>
              </w:rPr>
              <w:t>增长率</w:t>
            </w:r>
          </w:p>
        </w:tc>
        <w:tc>
          <w:tcPr>
            <w:tcW w:w="1430" w:type="dxa"/>
            <w:vAlign w:val="center"/>
          </w:tcPr>
          <w:p>
            <w:pPr>
              <w:pStyle w:val="44"/>
              <w:rPr>
                <w:rFonts w:eastAsia="仿宋" w:cs="Times New Roman"/>
                <w:szCs w:val="21"/>
              </w:rPr>
            </w:pPr>
            <w:r>
              <w:rPr>
                <w:rFonts w:hint="eastAsia" w:eastAsia="仿宋" w:cs="Times New Roman"/>
                <w:szCs w:val="21"/>
              </w:rPr>
              <w:t>年份</w:t>
            </w:r>
          </w:p>
        </w:tc>
        <w:tc>
          <w:tcPr>
            <w:tcW w:w="1550" w:type="dxa"/>
            <w:vAlign w:val="center"/>
          </w:tcPr>
          <w:p>
            <w:pPr>
              <w:pStyle w:val="44"/>
              <w:rPr>
                <w:rFonts w:eastAsia="仿宋" w:cs="Times New Roman"/>
                <w:szCs w:val="21"/>
              </w:rPr>
            </w:pPr>
            <w:r>
              <w:rPr>
                <w:rFonts w:hint="eastAsia" w:eastAsia="仿宋" w:cs="Times New Roman"/>
                <w:szCs w:val="21"/>
              </w:rPr>
              <w:t>游客量</w:t>
            </w:r>
          </w:p>
          <w:p>
            <w:pPr>
              <w:pStyle w:val="44"/>
              <w:rPr>
                <w:rFonts w:eastAsia="仿宋" w:cs="Times New Roman"/>
                <w:szCs w:val="21"/>
              </w:rPr>
            </w:pPr>
            <w:r>
              <w:rPr>
                <w:rFonts w:hint="eastAsia" w:eastAsia="仿宋" w:cs="Times New Roman"/>
                <w:szCs w:val="21"/>
              </w:rPr>
              <w:t>（万人）</w:t>
            </w:r>
          </w:p>
        </w:tc>
        <w:tc>
          <w:tcPr>
            <w:tcW w:w="1680" w:type="dxa"/>
            <w:vAlign w:val="center"/>
          </w:tcPr>
          <w:p>
            <w:pPr>
              <w:pStyle w:val="44"/>
              <w:rPr>
                <w:rFonts w:eastAsia="仿宋" w:cs="Times New Roman"/>
                <w:szCs w:val="21"/>
              </w:rPr>
            </w:pPr>
            <w:r>
              <w:rPr>
                <w:rFonts w:hint="eastAsia" w:eastAsia="仿宋" w:cs="Times New Roman"/>
                <w:szCs w:val="21"/>
              </w:rPr>
              <w:t>增长率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1" w:type="dxa"/>
            <w:vAlign w:val="center"/>
          </w:tcPr>
          <w:p>
            <w:pPr>
              <w:pStyle w:val="45"/>
              <w:rPr>
                <w:rFonts w:eastAsia="仿宋" w:cs="Times New Roman"/>
                <w:sz w:val="21"/>
                <w:szCs w:val="21"/>
              </w:rPr>
            </w:pPr>
            <w:r>
              <w:rPr>
                <w:rFonts w:eastAsia="仿宋" w:cs="Times New Roman"/>
                <w:sz w:val="21"/>
                <w:szCs w:val="21"/>
              </w:rPr>
              <w:t>2020</w:t>
            </w:r>
          </w:p>
        </w:tc>
        <w:tc>
          <w:tcPr>
            <w:tcW w:w="1499" w:type="dxa"/>
            <w:vAlign w:val="center"/>
          </w:tcPr>
          <w:p>
            <w:pPr>
              <w:pStyle w:val="45"/>
              <w:rPr>
                <w:rFonts w:eastAsia="仿宋" w:cs="Times New Roman"/>
                <w:sz w:val="21"/>
                <w:szCs w:val="21"/>
              </w:rPr>
            </w:pPr>
            <w:r>
              <w:rPr>
                <w:rFonts w:eastAsia="仿宋" w:cs="Times New Roman"/>
                <w:sz w:val="21"/>
                <w:szCs w:val="21"/>
              </w:rPr>
              <w:t>32.8</w:t>
            </w:r>
          </w:p>
        </w:tc>
        <w:tc>
          <w:tcPr>
            <w:tcW w:w="1340" w:type="dxa"/>
            <w:vAlign w:val="center"/>
          </w:tcPr>
          <w:p>
            <w:pPr>
              <w:pStyle w:val="45"/>
              <w:rPr>
                <w:rFonts w:eastAsia="仿宋" w:cs="Times New Roman"/>
                <w:sz w:val="21"/>
                <w:szCs w:val="21"/>
              </w:rPr>
            </w:pPr>
          </w:p>
        </w:tc>
        <w:tc>
          <w:tcPr>
            <w:tcW w:w="1430" w:type="dxa"/>
            <w:vAlign w:val="center"/>
          </w:tcPr>
          <w:p>
            <w:pPr>
              <w:pStyle w:val="45"/>
              <w:rPr>
                <w:rFonts w:eastAsia="仿宋" w:cs="Times New Roman"/>
                <w:sz w:val="21"/>
                <w:szCs w:val="21"/>
              </w:rPr>
            </w:pPr>
            <w:r>
              <w:rPr>
                <w:rFonts w:eastAsia="仿宋" w:cs="Times New Roman"/>
                <w:sz w:val="21"/>
                <w:szCs w:val="21"/>
              </w:rPr>
              <w:t>2026</w:t>
            </w:r>
          </w:p>
        </w:tc>
        <w:tc>
          <w:tcPr>
            <w:tcW w:w="1550" w:type="dxa"/>
            <w:vAlign w:val="center"/>
          </w:tcPr>
          <w:p>
            <w:pPr>
              <w:pStyle w:val="45"/>
              <w:rPr>
                <w:rFonts w:eastAsia="仿宋" w:cs="Times New Roman"/>
                <w:sz w:val="21"/>
                <w:szCs w:val="21"/>
              </w:rPr>
            </w:pPr>
            <w:r>
              <w:rPr>
                <w:rFonts w:eastAsia="仿宋" w:cs="Times New Roman"/>
                <w:color w:val="000000"/>
                <w:sz w:val="21"/>
                <w:szCs w:val="21"/>
              </w:rPr>
              <w:t>58.1</w:t>
            </w:r>
          </w:p>
        </w:tc>
        <w:tc>
          <w:tcPr>
            <w:tcW w:w="1680" w:type="dxa"/>
            <w:vAlign w:val="center"/>
          </w:tcPr>
          <w:p>
            <w:pPr>
              <w:pStyle w:val="45"/>
              <w:rPr>
                <w:rFonts w:eastAsia="仿宋" w:cs="Times New Roman"/>
                <w:sz w:val="21"/>
                <w:szCs w:val="21"/>
              </w:rPr>
            </w:pPr>
            <w:r>
              <w:rPr>
                <w:rFonts w:eastAsia="仿宋" w:cs="Times New Roman"/>
                <w:color w:val="000000"/>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1" w:type="dxa"/>
            <w:vAlign w:val="center"/>
          </w:tcPr>
          <w:p>
            <w:pPr>
              <w:pStyle w:val="45"/>
              <w:rPr>
                <w:rFonts w:eastAsia="仿宋" w:cs="Times New Roman"/>
                <w:sz w:val="21"/>
                <w:szCs w:val="21"/>
              </w:rPr>
            </w:pPr>
            <w:r>
              <w:rPr>
                <w:rFonts w:eastAsia="仿宋" w:cs="Times New Roman"/>
                <w:sz w:val="21"/>
                <w:szCs w:val="21"/>
              </w:rPr>
              <w:t>2021</w:t>
            </w:r>
          </w:p>
        </w:tc>
        <w:tc>
          <w:tcPr>
            <w:tcW w:w="1499" w:type="dxa"/>
          </w:tcPr>
          <w:p>
            <w:pPr>
              <w:pStyle w:val="45"/>
              <w:rPr>
                <w:rFonts w:eastAsia="仿宋" w:cs="Times New Roman"/>
                <w:sz w:val="21"/>
                <w:szCs w:val="21"/>
              </w:rPr>
            </w:pPr>
            <w:r>
              <w:rPr>
                <w:rFonts w:eastAsia="仿宋" w:cs="Times New Roman"/>
                <w:sz w:val="21"/>
                <w:szCs w:val="21"/>
              </w:rPr>
              <w:t>36.1</w:t>
            </w:r>
          </w:p>
        </w:tc>
        <w:tc>
          <w:tcPr>
            <w:tcW w:w="1340" w:type="dxa"/>
            <w:vAlign w:val="center"/>
          </w:tcPr>
          <w:p>
            <w:pPr>
              <w:pStyle w:val="45"/>
              <w:rPr>
                <w:rFonts w:eastAsia="仿宋" w:cs="Times New Roman"/>
                <w:sz w:val="21"/>
                <w:szCs w:val="21"/>
              </w:rPr>
            </w:pPr>
            <w:r>
              <w:rPr>
                <w:rFonts w:eastAsia="仿宋" w:cs="Times New Roman"/>
                <w:sz w:val="21"/>
                <w:szCs w:val="21"/>
              </w:rPr>
              <w:t>10</w:t>
            </w:r>
          </w:p>
        </w:tc>
        <w:tc>
          <w:tcPr>
            <w:tcW w:w="1430" w:type="dxa"/>
            <w:vAlign w:val="center"/>
          </w:tcPr>
          <w:p>
            <w:pPr>
              <w:pStyle w:val="45"/>
              <w:rPr>
                <w:rFonts w:eastAsia="仿宋" w:cs="Times New Roman"/>
                <w:sz w:val="21"/>
                <w:szCs w:val="21"/>
              </w:rPr>
            </w:pPr>
            <w:r>
              <w:rPr>
                <w:rFonts w:eastAsia="仿宋" w:cs="Times New Roman"/>
                <w:sz w:val="21"/>
                <w:szCs w:val="21"/>
              </w:rPr>
              <w:t>2027</w:t>
            </w:r>
          </w:p>
        </w:tc>
        <w:tc>
          <w:tcPr>
            <w:tcW w:w="1550" w:type="dxa"/>
            <w:vAlign w:val="center"/>
          </w:tcPr>
          <w:p>
            <w:pPr>
              <w:pStyle w:val="45"/>
              <w:rPr>
                <w:rFonts w:eastAsia="仿宋" w:cs="Times New Roman"/>
                <w:sz w:val="21"/>
                <w:szCs w:val="21"/>
              </w:rPr>
            </w:pPr>
            <w:r>
              <w:rPr>
                <w:rFonts w:eastAsia="仿宋" w:cs="Times New Roman"/>
                <w:color w:val="000000"/>
                <w:sz w:val="21"/>
                <w:szCs w:val="21"/>
              </w:rPr>
              <w:t>63.9</w:t>
            </w:r>
          </w:p>
        </w:tc>
        <w:tc>
          <w:tcPr>
            <w:tcW w:w="1680" w:type="dxa"/>
            <w:vAlign w:val="center"/>
          </w:tcPr>
          <w:p>
            <w:pPr>
              <w:pStyle w:val="45"/>
              <w:rPr>
                <w:rFonts w:eastAsia="仿宋" w:cs="Times New Roman"/>
                <w:sz w:val="21"/>
                <w:szCs w:val="21"/>
              </w:rPr>
            </w:pPr>
            <w:r>
              <w:rPr>
                <w:rFonts w:eastAsia="仿宋" w:cs="Times New Roman"/>
                <w:color w:val="000000"/>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1" w:type="dxa"/>
            <w:vAlign w:val="center"/>
          </w:tcPr>
          <w:p>
            <w:pPr>
              <w:pStyle w:val="45"/>
              <w:rPr>
                <w:rFonts w:eastAsia="仿宋" w:cs="Times New Roman"/>
                <w:sz w:val="21"/>
                <w:szCs w:val="21"/>
              </w:rPr>
            </w:pPr>
            <w:r>
              <w:rPr>
                <w:rFonts w:eastAsia="仿宋" w:cs="Times New Roman"/>
                <w:sz w:val="21"/>
                <w:szCs w:val="21"/>
              </w:rPr>
              <w:t>2022</w:t>
            </w:r>
          </w:p>
        </w:tc>
        <w:tc>
          <w:tcPr>
            <w:tcW w:w="1499" w:type="dxa"/>
          </w:tcPr>
          <w:p>
            <w:pPr>
              <w:pStyle w:val="45"/>
              <w:rPr>
                <w:rFonts w:eastAsia="仿宋" w:cs="Times New Roman"/>
                <w:sz w:val="21"/>
                <w:szCs w:val="21"/>
              </w:rPr>
            </w:pPr>
            <w:r>
              <w:rPr>
                <w:rFonts w:eastAsia="仿宋" w:cs="Times New Roman"/>
                <w:sz w:val="21"/>
                <w:szCs w:val="21"/>
              </w:rPr>
              <w:t>39.7</w:t>
            </w:r>
          </w:p>
        </w:tc>
        <w:tc>
          <w:tcPr>
            <w:tcW w:w="1340" w:type="dxa"/>
            <w:vAlign w:val="center"/>
          </w:tcPr>
          <w:p>
            <w:pPr>
              <w:pStyle w:val="45"/>
              <w:rPr>
                <w:rFonts w:eastAsia="仿宋" w:cs="Times New Roman"/>
                <w:sz w:val="21"/>
                <w:szCs w:val="21"/>
              </w:rPr>
            </w:pPr>
            <w:r>
              <w:rPr>
                <w:rFonts w:eastAsia="仿宋" w:cs="Times New Roman"/>
                <w:color w:val="000000"/>
                <w:sz w:val="21"/>
                <w:szCs w:val="21"/>
              </w:rPr>
              <w:t>10</w:t>
            </w:r>
          </w:p>
        </w:tc>
        <w:tc>
          <w:tcPr>
            <w:tcW w:w="1430" w:type="dxa"/>
            <w:vAlign w:val="center"/>
          </w:tcPr>
          <w:p>
            <w:pPr>
              <w:pStyle w:val="45"/>
              <w:rPr>
                <w:rFonts w:eastAsia="仿宋" w:cs="Times New Roman"/>
                <w:sz w:val="21"/>
                <w:szCs w:val="21"/>
              </w:rPr>
            </w:pPr>
            <w:r>
              <w:rPr>
                <w:rFonts w:eastAsia="仿宋" w:cs="Times New Roman"/>
                <w:sz w:val="21"/>
                <w:szCs w:val="21"/>
              </w:rPr>
              <w:t>2028</w:t>
            </w:r>
          </w:p>
        </w:tc>
        <w:tc>
          <w:tcPr>
            <w:tcW w:w="1550" w:type="dxa"/>
            <w:vAlign w:val="center"/>
          </w:tcPr>
          <w:p>
            <w:pPr>
              <w:pStyle w:val="45"/>
              <w:rPr>
                <w:rFonts w:eastAsia="仿宋" w:cs="Times New Roman"/>
                <w:sz w:val="21"/>
                <w:szCs w:val="21"/>
              </w:rPr>
            </w:pPr>
            <w:r>
              <w:rPr>
                <w:rFonts w:eastAsia="仿宋" w:cs="Times New Roman"/>
                <w:color w:val="000000"/>
                <w:sz w:val="21"/>
                <w:szCs w:val="21"/>
              </w:rPr>
              <w:t>70.3</w:t>
            </w:r>
          </w:p>
        </w:tc>
        <w:tc>
          <w:tcPr>
            <w:tcW w:w="1680" w:type="dxa"/>
            <w:vAlign w:val="center"/>
          </w:tcPr>
          <w:p>
            <w:pPr>
              <w:pStyle w:val="45"/>
              <w:rPr>
                <w:rFonts w:eastAsia="仿宋" w:cs="Times New Roman"/>
                <w:sz w:val="21"/>
                <w:szCs w:val="21"/>
              </w:rPr>
            </w:pPr>
            <w:r>
              <w:rPr>
                <w:rFonts w:eastAsia="仿宋" w:cs="Times New Roman"/>
                <w:color w:val="000000"/>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1" w:type="dxa"/>
            <w:vAlign w:val="center"/>
          </w:tcPr>
          <w:p>
            <w:pPr>
              <w:pStyle w:val="45"/>
              <w:rPr>
                <w:rFonts w:eastAsia="仿宋" w:cs="Times New Roman"/>
                <w:sz w:val="21"/>
                <w:szCs w:val="21"/>
              </w:rPr>
            </w:pPr>
            <w:r>
              <w:rPr>
                <w:rFonts w:eastAsia="仿宋" w:cs="Times New Roman"/>
                <w:sz w:val="21"/>
                <w:szCs w:val="21"/>
              </w:rPr>
              <w:t>2023</w:t>
            </w:r>
          </w:p>
        </w:tc>
        <w:tc>
          <w:tcPr>
            <w:tcW w:w="1499" w:type="dxa"/>
          </w:tcPr>
          <w:p>
            <w:pPr>
              <w:pStyle w:val="45"/>
              <w:rPr>
                <w:rFonts w:eastAsia="仿宋" w:cs="Times New Roman"/>
                <w:sz w:val="21"/>
                <w:szCs w:val="21"/>
              </w:rPr>
            </w:pPr>
            <w:r>
              <w:rPr>
                <w:rFonts w:eastAsia="仿宋" w:cs="Times New Roman"/>
                <w:sz w:val="21"/>
                <w:szCs w:val="21"/>
              </w:rPr>
              <w:t>43.6</w:t>
            </w:r>
          </w:p>
        </w:tc>
        <w:tc>
          <w:tcPr>
            <w:tcW w:w="1340" w:type="dxa"/>
            <w:vAlign w:val="center"/>
          </w:tcPr>
          <w:p>
            <w:pPr>
              <w:pStyle w:val="45"/>
              <w:rPr>
                <w:rFonts w:eastAsia="仿宋" w:cs="Times New Roman"/>
                <w:sz w:val="21"/>
                <w:szCs w:val="21"/>
              </w:rPr>
            </w:pPr>
            <w:r>
              <w:rPr>
                <w:rFonts w:eastAsia="仿宋" w:cs="Times New Roman"/>
                <w:color w:val="000000"/>
                <w:sz w:val="21"/>
                <w:szCs w:val="21"/>
              </w:rPr>
              <w:t>10</w:t>
            </w:r>
          </w:p>
        </w:tc>
        <w:tc>
          <w:tcPr>
            <w:tcW w:w="1430" w:type="dxa"/>
            <w:vAlign w:val="center"/>
          </w:tcPr>
          <w:p>
            <w:pPr>
              <w:pStyle w:val="45"/>
              <w:rPr>
                <w:rFonts w:eastAsia="仿宋" w:cs="Times New Roman"/>
                <w:sz w:val="21"/>
                <w:szCs w:val="21"/>
              </w:rPr>
            </w:pPr>
            <w:r>
              <w:rPr>
                <w:rFonts w:eastAsia="仿宋" w:cs="Times New Roman"/>
                <w:sz w:val="21"/>
                <w:szCs w:val="21"/>
              </w:rPr>
              <w:t>202</w:t>
            </w:r>
            <w:r>
              <w:rPr>
                <w:rFonts w:hint="eastAsia" w:eastAsia="仿宋" w:cs="Times New Roman"/>
                <w:sz w:val="21"/>
                <w:szCs w:val="21"/>
              </w:rPr>
              <w:t>9</w:t>
            </w:r>
          </w:p>
        </w:tc>
        <w:tc>
          <w:tcPr>
            <w:tcW w:w="1550" w:type="dxa"/>
            <w:vAlign w:val="center"/>
          </w:tcPr>
          <w:p>
            <w:pPr>
              <w:pStyle w:val="45"/>
              <w:rPr>
                <w:rFonts w:eastAsia="仿宋" w:cs="Times New Roman"/>
                <w:sz w:val="21"/>
                <w:szCs w:val="21"/>
              </w:rPr>
            </w:pPr>
            <w:r>
              <w:rPr>
                <w:rFonts w:hint="eastAsia" w:eastAsia="仿宋" w:cs="Times New Roman"/>
                <w:color w:val="000000"/>
                <w:sz w:val="21"/>
                <w:szCs w:val="21"/>
              </w:rPr>
              <w:t>77</w:t>
            </w:r>
            <w:r>
              <w:rPr>
                <w:rFonts w:eastAsia="仿宋" w:cs="Times New Roman"/>
                <w:color w:val="000000"/>
                <w:sz w:val="21"/>
                <w:szCs w:val="21"/>
              </w:rPr>
              <w:t>.3</w:t>
            </w:r>
          </w:p>
        </w:tc>
        <w:tc>
          <w:tcPr>
            <w:tcW w:w="1680" w:type="dxa"/>
            <w:vAlign w:val="center"/>
          </w:tcPr>
          <w:p>
            <w:pPr>
              <w:pStyle w:val="45"/>
              <w:rPr>
                <w:rFonts w:eastAsia="仿宋" w:cs="Times New Roman"/>
                <w:sz w:val="21"/>
                <w:szCs w:val="21"/>
              </w:rPr>
            </w:pPr>
            <w:r>
              <w:rPr>
                <w:rFonts w:eastAsia="仿宋" w:cs="Times New Roman"/>
                <w:color w:val="000000"/>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1" w:type="dxa"/>
            <w:vAlign w:val="center"/>
          </w:tcPr>
          <w:p>
            <w:pPr>
              <w:pStyle w:val="45"/>
              <w:rPr>
                <w:rFonts w:eastAsia="仿宋" w:cs="Times New Roman"/>
                <w:sz w:val="21"/>
                <w:szCs w:val="21"/>
              </w:rPr>
            </w:pPr>
            <w:r>
              <w:rPr>
                <w:rFonts w:eastAsia="仿宋" w:cs="Times New Roman"/>
                <w:sz w:val="21"/>
                <w:szCs w:val="21"/>
              </w:rPr>
              <w:t>2024</w:t>
            </w:r>
          </w:p>
        </w:tc>
        <w:tc>
          <w:tcPr>
            <w:tcW w:w="1499" w:type="dxa"/>
          </w:tcPr>
          <w:p>
            <w:pPr>
              <w:pStyle w:val="45"/>
              <w:rPr>
                <w:rFonts w:eastAsia="仿宋" w:cs="Times New Roman"/>
                <w:sz w:val="21"/>
                <w:szCs w:val="21"/>
              </w:rPr>
            </w:pPr>
            <w:r>
              <w:rPr>
                <w:rFonts w:eastAsia="仿宋" w:cs="Times New Roman"/>
                <w:sz w:val="21"/>
                <w:szCs w:val="21"/>
              </w:rPr>
              <w:t>48.0</w:t>
            </w:r>
          </w:p>
        </w:tc>
        <w:tc>
          <w:tcPr>
            <w:tcW w:w="1340" w:type="dxa"/>
            <w:vAlign w:val="center"/>
          </w:tcPr>
          <w:p>
            <w:pPr>
              <w:pStyle w:val="45"/>
              <w:rPr>
                <w:rFonts w:eastAsia="仿宋" w:cs="Times New Roman"/>
                <w:sz w:val="21"/>
                <w:szCs w:val="21"/>
              </w:rPr>
            </w:pPr>
            <w:r>
              <w:rPr>
                <w:rFonts w:eastAsia="仿宋" w:cs="Times New Roman"/>
                <w:color w:val="000000"/>
                <w:sz w:val="21"/>
                <w:szCs w:val="21"/>
              </w:rPr>
              <w:t>10</w:t>
            </w:r>
          </w:p>
        </w:tc>
        <w:tc>
          <w:tcPr>
            <w:tcW w:w="1430" w:type="dxa"/>
            <w:vAlign w:val="center"/>
          </w:tcPr>
          <w:p>
            <w:pPr>
              <w:pStyle w:val="45"/>
              <w:rPr>
                <w:rFonts w:eastAsia="仿宋" w:cs="Times New Roman"/>
                <w:sz w:val="21"/>
                <w:szCs w:val="21"/>
              </w:rPr>
            </w:pPr>
            <w:r>
              <w:rPr>
                <w:rFonts w:hint="eastAsia" w:eastAsia="仿宋" w:cs="Times New Roman"/>
                <w:sz w:val="21"/>
                <w:szCs w:val="21"/>
              </w:rPr>
              <w:t>2030</w:t>
            </w:r>
          </w:p>
        </w:tc>
        <w:tc>
          <w:tcPr>
            <w:tcW w:w="1550" w:type="dxa"/>
            <w:vAlign w:val="center"/>
          </w:tcPr>
          <w:p>
            <w:pPr>
              <w:pStyle w:val="45"/>
              <w:rPr>
                <w:rFonts w:eastAsia="仿宋" w:cs="Times New Roman"/>
                <w:sz w:val="21"/>
                <w:szCs w:val="21"/>
              </w:rPr>
            </w:pPr>
            <w:r>
              <w:rPr>
                <w:rFonts w:hint="eastAsia" w:eastAsia="仿宋" w:cs="Times New Roman"/>
                <w:sz w:val="21"/>
                <w:szCs w:val="21"/>
              </w:rPr>
              <w:t>85.1</w:t>
            </w:r>
          </w:p>
        </w:tc>
        <w:tc>
          <w:tcPr>
            <w:tcW w:w="1680" w:type="dxa"/>
            <w:vAlign w:val="center"/>
          </w:tcPr>
          <w:p>
            <w:pPr>
              <w:pStyle w:val="45"/>
              <w:rPr>
                <w:rFonts w:eastAsia="仿宋" w:cs="Times New Roman"/>
                <w:sz w:val="21"/>
                <w:szCs w:val="21"/>
              </w:rPr>
            </w:pPr>
            <w:r>
              <w:rPr>
                <w:rFonts w:hint="eastAsia" w:eastAsia="仿宋" w:cs="Times New Roman"/>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1" w:type="dxa"/>
            <w:vAlign w:val="center"/>
          </w:tcPr>
          <w:p>
            <w:pPr>
              <w:pStyle w:val="45"/>
              <w:rPr>
                <w:rFonts w:eastAsia="仿宋" w:cs="Times New Roman"/>
                <w:sz w:val="21"/>
                <w:szCs w:val="21"/>
              </w:rPr>
            </w:pPr>
            <w:bookmarkStart w:id="474" w:name="_Toc15678"/>
            <w:bookmarkStart w:id="475" w:name="_Toc113925822"/>
            <w:bookmarkStart w:id="476" w:name="_Toc10290"/>
            <w:bookmarkStart w:id="477" w:name="_Toc113925570"/>
            <w:bookmarkStart w:id="478" w:name="_Toc114084669"/>
            <w:r>
              <w:rPr>
                <w:rFonts w:eastAsia="仿宋" w:cs="Times New Roman"/>
                <w:sz w:val="21"/>
                <w:szCs w:val="21"/>
              </w:rPr>
              <w:t>2025</w:t>
            </w:r>
          </w:p>
        </w:tc>
        <w:tc>
          <w:tcPr>
            <w:tcW w:w="1499" w:type="dxa"/>
            <w:vAlign w:val="center"/>
          </w:tcPr>
          <w:p>
            <w:pPr>
              <w:pStyle w:val="45"/>
              <w:rPr>
                <w:rFonts w:eastAsia="仿宋" w:cs="Times New Roman"/>
                <w:sz w:val="21"/>
                <w:szCs w:val="21"/>
              </w:rPr>
            </w:pPr>
            <w:r>
              <w:rPr>
                <w:rFonts w:eastAsia="仿宋" w:cs="Times New Roman"/>
                <w:color w:val="000000"/>
                <w:sz w:val="21"/>
                <w:szCs w:val="21"/>
              </w:rPr>
              <w:t>52.8</w:t>
            </w:r>
          </w:p>
        </w:tc>
        <w:tc>
          <w:tcPr>
            <w:tcW w:w="1340" w:type="dxa"/>
            <w:vAlign w:val="center"/>
          </w:tcPr>
          <w:p>
            <w:pPr>
              <w:pStyle w:val="45"/>
              <w:rPr>
                <w:rFonts w:eastAsia="仿宋" w:cs="Times New Roman"/>
                <w:sz w:val="21"/>
                <w:szCs w:val="21"/>
              </w:rPr>
            </w:pPr>
            <w:r>
              <w:rPr>
                <w:rFonts w:eastAsia="仿宋" w:cs="Times New Roman"/>
                <w:color w:val="000000"/>
                <w:sz w:val="21"/>
                <w:szCs w:val="21"/>
              </w:rPr>
              <w:t>10</w:t>
            </w:r>
          </w:p>
        </w:tc>
        <w:tc>
          <w:tcPr>
            <w:tcW w:w="1430" w:type="dxa"/>
            <w:vAlign w:val="center"/>
          </w:tcPr>
          <w:p>
            <w:pPr>
              <w:pStyle w:val="45"/>
              <w:rPr>
                <w:rFonts w:eastAsia="仿宋" w:cs="Times New Roman"/>
                <w:sz w:val="21"/>
                <w:szCs w:val="21"/>
              </w:rPr>
            </w:pPr>
          </w:p>
        </w:tc>
        <w:tc>
          <w:tcPr>
            <w:tcW w:w="1550" w:type="dxa"/>
            <w:vAlign w:val="center"/>
          </w:tcPr>
          <w:p>
            <w:pPr>
              <w:pStyle w:val="45"/>
              <w:rPr>
                <w:rFonts w:eastAsia="仿宋" w:cs="Times New Roman"/>
                <w:sz w:val="21"/>
                <w:szCs w:val="21"/>
              </w:rPr>
            </w:pPr>
          </w:p>
        </w:tc>
        <w:tc>
          <w:tcPr>
            <w:tcW w:w="1680" w:type="dxa"/>
            <w:vAlign w:val="center"/>
          </w:tcPr>
          <w:p>
            <w:pPr>
              <w:pStyle w:val="45"/>
              <w:rPr>
                <w:rFonts w:eastAsia="仿宋" w:cs="Times New Roman"/>
                <w:sz w:val="21"/>
                <w:szCs w:val="21"/>
              </w:rPr>
            </w:pPr>
          </w:p>
        </w:tc>
      </w:tr>
    </w:tbl>
    <w:p>
      <w:pPr>
        <w:pStyle w:val="5"/>
        <w:numPr>
          <w:ilvl w:val="1"/>
          <w:numId w:val="45"/>
        </w:numPr>
        <w:spacing w:before="197"/>
      </w:pPr>
      <w:bookmarkStart w:id="479" w:name="_Toc117114399"/>
      <w:r>
        <w:rPr>
          <w:rFonts w:hint="eastAsia"/>
        </w:rPr>
        <w:t>利用项目规划</w:t>
      </w:r>
      <w:bookmarkEnd w:id="474"/>
      <w:bookmarkEnd w:id="475"/>
      <w:bookmarkEnd w:id="476"/>
      <w:bookmarkEnd w:id="477"/>
      <w:bookmarkEnd w:id="478"/>
      <w:bookmarkEnd w:id="479"/>
    </w:p>
    <w:p>
      <w:pPr>
        <w:pStyle w:val="6"/>
        <w:numPr>
          <w:ilvl w:val="2"/>
          <w:numId w:val="66"/>
        </w:numPr>
      </w:pPr>
      <w:bookmarkStart w:id="480" w:name="_Toc113925823"/>
      <w:bookmarkStart w:id="481" w:name="_Toc113925571"/>
      <w:r>
        <w:rPr>
          <w:rFonts w:hint="eastAsia"/>
        </w:rPr>
        <w:t>规划思路及定位</w:t>
      </w:r>
      <w:bookmarkEnd w:id="480"/>
      <w:bookmarkEnd w:id="481"/>
    </w:p>
    <w:p>
      <w:pPr>
        <w:pStyle w:val="47"/>
        <w:numPr>
          <w:ilvl w:val="2"/>
          <w:numId w:val="67"/>
        </w:numPr>
        <w:ind w:firstLineChars="0"/>
        <w:rPr>
          <w:rFonts w:cs="Times New Roman"/>
        </w:rPr>
      </w:pPr>
      <w:r>
        <w:rPr>
          <w:rFonts w:hint="eastAsia" w:cs="Times New Roman"/>
        </w:rPr>
        <w:t>规划思路</w:t>
      </w:r>
    </w:p>
    <w:p>
      <w:pPr>
        <w:ind w:firstLine="560"/>
        <w:rPr>
          <w:rFonts w:cs="Times New Roman"/>
        </w:rPr>
      </w:pPr>
      <w:r>
        <w:rPr>
          <w:rFonts w:hint="eastAsia" w:cs="Times New Roman"/>
        </w:rPr>
        <w:t>以仙阳湖国家湿地公园优良的生态环境、丰富的湿地景观资源，多样的湿地生境与动植物资源为基础，挖掘当地深厚的地域文化底蕴，结合农业观光体验活动，在遵循</w:t>
      </w:r>
      <w:r>
        <w:rPr>
          <w:rFonts w:hint="eastAsia" w:ascii="仿宋" w:hAnsi="仿宋" w:cs="仿宋"/>
        </w:rPr>
        <w:t>“严格保护、统一管理、合理利用、永续发展”</w:t>
      </w:r>
      <w:r>
        <w:rPr>
          <w:rFonts w:hint="eastAsia" w:cs="Times New Roman"/>
        </w:rPr>
        <w:t>的前提下，合理有序的设置相关游憩项目，突出湿地公园旅游的特色和主题，有机地组成整个公园的生态旅游体系。</w:t>
      </w:r>
    </w:p>
    <w:p>
      <w:pPr>
        <w:pStyle w:val="47"/>
        <w:numPr>
          <w:ilvl w:val="2"/>
          <w:numId w:val="67"/>
        </w:numPr>
        <w:ind w:firstLineChars="0"/>
        <w:rPr>
          <w:rFonts w:cs="Times New Roman"/>
        </w:rPr>
      </w:pPr>
      <w:r>
        <w:rPr>
          <w:rFonts w:hint="eastAsia" w:cs="Times New Roman"/>
        </w:rPr>
        <w:t>定位</w:t>
      </w:r>
    </w:p>
    <w:p>
      <w:pPr>
        <w:ind w:firstLine="560"/>
        <w:rPr>
          <w:rFonts w:cs="Times New Roman"/>
        </w:rPr>
      </w:pPr>
      <w:r>
        <w:rPr>
          <w:rFonts w:hint="eastAsia" w:cs="Times New Roman"/>
        </w:rPr>
        <w:t>根据仙阳湖国家湿地公园资源特点及功能定位，确定能充分反映湿地公园特色的核心旅游产品，包括</w:t>
      </w:r>
      <w:r>
        <w:rPr>
          <w:rFonts w:hint="eastAsia" w:cs="Times New Roman"/>
          <w:lang w:val="en-US" w:eastAsia="zh-CN"/>
        </w:rPr>
        <w:t>：</w:t>
      </w:r>
      <w:r>
        <w:rPr>
          <w:rFonts w:hint="eastAsia" w:cs="Times New Roman"/>
        </w:rPr>
        <w:t>①科普宣教旅游产品；②参与体验旅游产品；③文化体验旅游产品；④考察学习型旅游产品。</w:t>
      </w:r>
    </w:p>
    <w:p>
      <w:pPr>
        <w:pStyle w:val="6"/>
        <w:numPr>
          <w:ilvl w:val="2"/>
          <w:numId w:val="66"/>
        </w:numPr>
      </w:pPr>
      <w:bookmarkStart w:id="482" w:name="_Toc113925572"/>
      <w:bookmarkStart w:id="483" w:name="_Toc113925824"/>
      <w:r>
        <w:rPr>
          <w:rFonts w:hint="eastAsia"/>
        </w:rPr>
        <w:t>游憩项目规划</w:t>
      </w:r>
      <w:bookmarkEnd w:id="482"/>
      <w:bookmarkEnd w:id="483"/>
    </w:p>
    <w:p>
      <w:pPr>
        <w:widowControl/>
        <w:ind w:firstLine="562"/>
        <w:jc w:val="left"/>
        <w:rPr>
          <w:rFonts w:cs="Times New Roman"/>
          <w:szCs w:val="28"/>
        </w:rPr>
      </w:pPr>
      <w:r>
        <w:rPr>
          <w:rFonts w:cs="Times New Roman"/>
          <w:b/>
          <w:bCs/>
          <w:color w:val="000000"/>
          <w:kern w:val="0"/>
          <w:szCs w:val="28"/>
          <w:lang w:bidi="ar"/>
        </w:rPr>
        <w:t>（1</w:t>
      </w:r>
      <w:r>
        <w:rPr>
          <w:rFonts w:hint="eastAsia" w:cs="Times New Roman"/>
          <w:b/>
          <w:bCs/>
          <w:color w:val="000000"/>
          <w:kern w:val="0"/>
          <w:szCs w:val="28"/>
          <w:lang w:bidi="ar"/>
        </w:rPr>
        <w:t>）湿地科普生态旅游项目</w:t>
      </w:r>
      <w:r>
        <w:rPr>
          <w:rFonts w:cs="Times New Roman"/>
          <w:b/>
          <w:bCs/>
          <w:color w:val="000000"/>
          <w:kern w:val="0"/>
          <w:szCs w:val="28"/>
          <w:lang w:bidi="ar"/>
        </w:rPr>
        <w:t xml:space="preserve"> </w:t>
      </w:r>
    </w:p>
    <w:p>
      <w:pPr>
        <w:widowControl/>
        <w:ind w:firstLine="560"/>
      </w:pPr>
      <w:r>
        <w:rPr>
          <w:rFonts w:ascii="仿宋" w:hAnsi="仿宋" w:cs="仿宋"/>
          <w:color w:val="000000"/>
          <w:kern w:val="0"/>
          <w:szCs w:val="28"/>
          <w:lang w:bidi="ar"/>
        </w:rPr>
        <w:t>①</w:t>
      </w:r>
      <w:r>
        <w:rPr>
          <w:rFonts w:hint="eastAsia" w:ascii="仿宋" w:hAnsi="仿宋" w:cs="仿宋"/>
          <w:color w:val="000000"/>
          <w:kern w:val="0"/>
          <w:szCs w:val="28"/>
          <w:lang w:bidi="ar"/>
        </w:rPr>
        <w:t xml:space="preserve"> </w:t>
      </w:r>
      <w:r>
        <w:rPr>
          <w:rFonts w:ascii="仿宋" w:hAnsi="仿宋" w:cs="仿宋"/>
          <w:color w:val="000000"/>
          <w:kern w:val="0"/>
          <w:szCs w:val="28"/>
          <w:lang w:bidi="ar"/>
        </w:rPr>
        <w:t xml:space="preserve">湿地科普教育游 </w:t>
      </w:r>
    </w:p>
    <w:p>
      <w:pPr>
        <w:widowControl/>
        <w:ind w:firstLine="560"/>
      </w:pPr>
      <w:r>
        <w:rPr>
          <w:rFonts w:hint="eastAsia" w:ascii="仿宋" w:hAnsi="仿宋" w:cs="仿宋"/>
          <w:color w:val="000000"/>
          <w:kern w:val="0"/>
          <w:szCs w:val="28"/>
          <w:lang w:bidi="ar"/>
        </w:rPr>
        <w:t>通过湿地公园内典型湿地景观的保护或营造，以及湿地科普宣教中心、湿地生态教育广场、湿地植物展示园、湿地科普宣教长廊等作为展示内容，进行湿地知识、湿地文化、湿地动物、湿地植物、湿地生态功能和生态环境价值展示，让游客在领略湿地景观的同时，较全面了解、认识湿地，从而提高人们对湿地及生态环境的保护意识。</w:t>
      </w:r>
    </w:p>
    <w:p>
      <w:pPr>
        <w:widowControl/>
        <w:ind w:firstLine="560"/>
        <w:jc w:val="left"/>
      </w:pPr>
      <w:r>
        <w:rPr>
          <w:rFonts w:cs="Times New Roman"/>
        </w:rPr>
        <w:fldChar w:fldCharType="begin"/>
      </w:r>
      <w:r>
        <w:rPr>
          <w:rFonts w:cs="Times New Roman"/>
        </w:rPr>
        <w:instrText xml:space="preserve"> = 2 \* GB3 \* MERGEFORMAT </w:instrText>
      </w:r>
      <w:r>
        <w:rPr>
          <w:rFonts w:cs="Times New Roman"/>
        </w:rPr>
        <w:fldChar w:fldCharType="separate"/>
      </w:r>
      <w:r>
        <w:t>②</w:t>
      </w:r>
      <w:r>
        <w:rPr>
          <w:rFonts w:cs="Times New Roman"/>
        </w:rPr>
        <w:fldChar w:fldCharType="end"/>
      </w:r>
      <w:r>
        <w:rPr>
          <w:rFonts w:hint="eastAsia" w:cs="Times New Roman"/>
        </w:rPr>
        <w:t xml:space="preserve"> </w:t>
      </w:r>
      <w:r>
        <w:rPr>
          <w:rFonts w:ascii="仿宋" w:hAnsi="仿宋" w:cs="仿宋"/>
          <w:color w:val="000000"/>
          <w:kern w:val="0"/>
          <w:szCs w:val="28"/>
          <w:lang w:bidi="ar"/>
        </w:rPr>
        <w:t>湿地观鸟游</w:t>
      </w:r>
    </w:p>
    <w:p>
      <w:pPr>
        <w:widowControl/>
        <w:ind w:firstLine="560"/>
        <w:rPr>
          <w:rFonts w:cs="Times New Roman"/>
          <w:color w:val="000000"/>
          <w:kern w:val="0"/>
          <w:szCs w:val="28"/>
          <w:lang w:bidi="ar"/>
        </w:rPr>
      </w:pPr>
      <w:r>
        <w:rPr>
          <w:rFonts w:hint="eastAsia" w:ascii="仿宋" w:hAnsi="仿宋" w:cs="仿宋"/>
          <w:color w:val="000000"/>
          <w:kern w:val="0"/>
          <w:szCs w:val="28"/>
          <w:lang w:bidi="ar"/>
        </w:rPr>
        <w:t>仙阳湖国家湿地公园</w:t>
      </w:r>
      <w:r>
        <w:rPr>
          <w:rFonts w:ascii="仿宋" w:hAnsi="仿宋" w:cs="仿宋"/>
          <w:color w:val="000000"/>
          <w:kern w:val="0"/>
          <w:szCs w:val="28"/>
          <w:lang w:bidi="ar"/>
        </w:rPr>
        <w:t>内栖息的水鸟种类繁杂、数量众多，通过观赏湿地公</w:t>
      </w:r>
      <w:r>
        <w:rPr>
          <w:rFonts w:hint="eastAsia" w:ascii="仿宋" w:hAnsi="仿宋" w:cs="仿宋"/>
          <w:color w:val="000000"/>
          <w:kern w:val="0"/>
          <w:szCs w:val="28"/>
          <w:lang w:bidi="ar"/>
        </w:rPr>
        <w:t>园内的水鸟，让人们在观鸟活动中认识鸟类，爱护鸟类，从而关注自然，深入自然，了解自然，提高自身的生态环保意识。此外，可以在观鸟活动中陶冶身心，放松心情，感受乐趣。尤其是对于中小学生游客，通过观鸟活动更是可以使得他们喜爱动物的天性充分的发展发挥，同时，能够提高其观察分析事物的能力，也是有效的人格教育方式。湿地公园可以安排专人指导游客正确的进行观鸟活动，以减少对鸟类的干扰和惊吓，同时也保障游客自身的安全。本期规划在马鞍岛、月光岛、晒谷堡、毛家坪、邓坪、鲍家渡等建设观鸟屋和观鸟</w:t>
      </w:r>
      <w:r>
        <w:rPr>
          <w:rFonts w:cs="Times New Roman"/>
          <w:color w:val="000000"/>
          <w:kern w:val="0"/>
          <w:szCs w:val="28"/>
          <w:lang w:bidi="ar"/>
        </w:rPr>
        <w:t>塔，观鸟屋共10座，每座占地面积100平方米，观鸟塔20座，每座占地面积50平方米。</w:t>
      </w:r>
    </w:p>
    <w:p>
      <w:pPr>
        <w:widowControl/>
        <w:ind w:firstLine="0" w:firstLineChars="0"/>
        <w:jc w:val="left"/>
        <w:rPr>
          <w:rFonts w:ascii="仿宋" w:hAnsi="仿宋" w:cs="仿宋"/>
          <w:color w:val="000000"/>
          <w:kern w:val="0"/>
          <w:szCs w:val="28"/>
          <w:lang w:bidi="ar"/>
        </w:rPr>
      </w:pPr>
      <w:r>
        <w:rPr>
          <w:rFonts w:hint="eastAsia" w:ascii="仿宋" w:hAnsi="仿宋" w:cs="仿宋"/>
          <w:color w:val="000000"/>
          <w:kern w:val="0"/>
          <w:szCs w:val="28"/>
          <w:lang w:bidi="ar"/>
        </w:rPr>
        <w:drawing>
          <wp:inline distT="0" distB="0" distL="114300" distR="114300">
            <wp:extent cx="5577840" cy="3712845"/>
            <wp:effectExtent l="0" t="0" r="3810" b="1905"/>
            <wp:docPr id="14" name="图片 14" descr="src=http___dingyue.ws.126.net_2022_0514_a92cdc49j00rbvkn5001gd200hs00bug00it00ci.jpg&amp;refer=http___dingyue.ws.126.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src=http___dingyue.ws.126.net_2022_0514_a92cdc49j00rbvkn5001gd200hs00bug00it00ci.jpg&amp;refer=http___dingyue.ws.126.webp"/>
                    <pic:cNvPicPr>
                      <a:picLocks noChangeAspect="1"/>
                    </pic:cNvPicPr>
                  </pic:nvPicPr>
                  <pic:blipFill>
                    <a:blip r:embed="rId46"/>
                    <a:stretch>
                      <a:fillRect/>
                    </a:stretch>
                  </pic:blipFill>
                  <pic:spPr>
                    <a:xfrm>
                      <a:off x="0" y="0"/>
                      <a:ext cx="5577840" cy="3712845"/>
                    </a:xfrm>
                    <a:prstGeom prst="rect">
                      <a:avLst/>
                    </a:prstGeom>
                  </pic:spPr>
                </pic:pic>
              </a:graphicData>
            </a:graphic>
          </wp:inline>
        </w:drawing>
      </w:r>
    </w:p>
    <w:p>
      <w:pPr>
        <w:widowControl/>
        <w:ind w:firstLine="0" w:firstLineChars="0"/>
        <w:jc w:val="center"/>
        <w:rPr>
          <w:rFonts w:eastAsia="黑体" w:cs="Times New Roman"/>
          <w:color w:val="000000"/>
          <w:kern w:val="0"/>
          <w:sz w:val="24"/>
          <w:lang w:bidi="ar"/>
        </w:rPr>
      </w:pPr>
      <w:r>
        <w:rPr>
          <w:rFonts w:eastAsia="黑体" w:cs="Times New Roman"/>
          <w:color w:val="000000"/>
          <w:kern w:val="0"/>
          <w:sz w:val="24"/>
          <w:lang w:bidi="ar"/>
        </w:rPr>
        <w:t>图9-1 观鸟屋意向图</w:t>
      </w:r>
    </w:p>
    <w:p>
      <w:pPr>
        <w:ind w:firstLine="560"/>
        <w:rPr>
          <w:rFonts w:cs="Times New Roman"/>
        </w:rPr>
      </w:pPr>
      <w:r>
        <w:rPr>
          <w:rFonts w:cs="Times New Roman"/>
        </w:rPr>
        <w:fldChar w:fldCharType="begin"/>
      </w:r>
      <w:r>
        <w:rPr>
          <w:rFonts w:cs="Times New Roman"/>
        </w:rPr>
        <w:instrText xml:space="preserve"> = 3 \* GB3 \* MERGEFORMAT </w:instrText>
      </w:r>
      <w:r>
        <w:rPr>
          <w:rFonts w:cs="Times New Roman"/>
        </w:rPr>
        <w:fldChar w:fldCharType="separate"/>
      </w:r>
      <w:r>
        <w:t>③</w:t>
      </w:r>
      <w:r>
        <w:rPr>
          <w:rFonts w:cs="Times New Roman"/>
        </w:rPr>
        <w:fldChar w:fldCharType="end"/>
      </w:r>
      <w:r>
        <w:rPr>
          <w:rFonts w:hint="eastAsia" w:cs="Times New Roman"/>
        </w:rPr>
        <w:t xml:space="preserve"> 湿地植物认知游</w:t>
      </w:r>
    </w:p>
    <w:p>
      <w:pPr>
        <w:ind w:firstLine="560"/>
        <w:rPr>
          <w:rFonts w:cs="Times New Roman"/>
        </w:rPr>
      </w:pPr>
      <w:r>
        <w:rPr>
          <w:rFonts w:hint="eastAsia" w:cs="Times New Roman"/>
        </w:rPr>
        <w:t>以湿地公园丰富多的湿地植物群落为载体，通过解说牌的设置，让游客在游览过程中欣赏、认知湿地植物。植物群落有挺水植物、漂浮植物、浮水植物、沉水植物等。并且在靠近岸边的展示区域设置解说牌，简单介绍此类植物的产地、习性、生态功能等特征。为方便游客游览、观光、认知、学习湿地植物，在水道周围成块状种植植物。将挺水植物、漂浮植物、浮叶植物、沉水植物相搭配，使之构成一个较为完整的湿地植物群落，供人们在观赏湿地植物景观时具有对比性，同时也便于加深游客认知记忆。</w:t>
      </w:r>
    </w:p>
    <w:p>
      <w:pPr>
        <w:ind w:firstLine="560"/>
        <w:rPr>
          <w:rFonts w:cs="Times New Roman"/>
        </w:rPr>
      </w:pPr>
      <w:r>
        <w:rPr>
          <w:rFonts w:hint="eastAsia" w:cs="Times New Roman"/>
        </w:rPr>
        <w:fldChar w:fldCharType="begin"/>
      </w:r>
      <w:r>
        <w:rPr>
          <w:rFonts w:hint="eastAsia" w:cs="Times New Roman"/>
        </w:rPr>
        <w:instrText xml:space="preserve"> = 4 \* GB3 \* MERGEFORMAT </w:instrText>
      </w:r>
      <w:r>
        <w:rPr>
          <w:rFonts w:hint="eastAsia" w:cs="Times New Roman"/>
        </w:rPr>
        <w:fldChar w:fldCharType="separate"/>
      </w:r>
      <w:r>
        <w:t>④</w:t>
      </w:r>
      <w:r>
        <w:rPr>
          <w:rFonts w:hint="eastAsia" w:cs="Times New Roman"/>
        </w:rPr>
        <w:fldChar w:fldCharType="end"/>
      </w:r>
      <w:r>
        <w:rPr>
          <w:rFonts w:hint="eastAsia" w:cs="Times New Roman"/>
        </w:rPr>
        <w:t xml:space="preserve"> 中小学生研学游</w:t>
      </w:r>
    </w:p>
    <w:p>
      <w:pPr>
        <w:pStyle w:val="30"/>
        <w:widowControl/>
        <w:spacing w:beforeAutospacing="0" w:afterAutospacing="0"/>
        <w:ind w:firstLine="560"/>
        <w:jc w:val="both"/>
        <w:rPr>
          <w:rFonts w:ascii="仿宋" w:hAnsi="仿宋" w:cs="仿宋"/>
          <w:color w:val="222222"/>
          <w:sz w:val="28"/>
          <w:szCs w:val="28"/>
          <w:shd w:val="clear" w:color="auto" w:fill="FFFFFF"/>
        </w:rPr>
      </w:pPr>
      <w:r>
        <w:rPr>
          <w:rFonts w:hint="eastAsia" w:ascii="仿宋" w:hAnsi="仿宋" w:cs="仿宋"/>
          <w:color w:val="222222"/>
          <w:sz w:val="28"/>
          <w:szCs w:val="28"/>
          <w:shd w:val="clear" w:color="auto" w:fill="FFFFFF"/>
        </w:rPr>
        <w:t>以全国推行“双减政策”，研学旅游需求日益不断增强为契机，依托仙阳湖得天独厚的湿地景观和文化资源，打造湖南省研学旅游基地。积极与湖南省教育部门、学校联动，创新符合仙阳湖特色的研学模式，推动仙阳湖研学旅游高速发展，逐步打造湖南闻名的研学旅游示范基地。</w:t>
      </w:r>
    </w:p>
    <w:p>
      <w:pPr>
        <w:widowControl/>
        <w:ind w:firstLine="562"/>
        <w:jc w:val="left"/>
        <w:rPr>
          <w:rFonts w:cs="Times New Roman"/>
          <w:szCs w:val="28"/>
        </w:rPr>
      </w:pPr>
      <w:r>
        <w:rPr>
          <w:rFonts w:cs="Times New Roman"/>
          <w:b/>
          <w:bCs/>
          <w:color w:val="000000"/>
          <w:kern w:val="0"/>
          <w:szCs w:val="28"/>
          <w:lang w:bidi="ar"/>
        </w:rPr>
        <w:t>（2</w:t>
      </w:r>
      <w:r>
        <w:rPr>
          <w:rFonts w:hint="eastAsia" w:cs="Times New Roman"/>
          <w:b/>
          <w:bCs/>
          <w:color w:val="000000"/>
          <w:kern w:val="0"/>
          <w:szCs w:val="28"/>
          <w:lang w:bidi="ar"/>
        </w:rPr>
        <w:t>）湿地观光旅游项目</w:t>
      </w:r>
      <w:r>
        <w:rPr>
          <w:rFonts w:cs="Times New Roman"/>
          <w:b/>
          <w:bCs/>
          <w:color w:val="000000"/>
          <w:kern w:val="0"/>
          <w:szCs w:val="28"/>
          <w:lang w:bidi="ar"/>
        </w:rPr>
        <w:t xml:space="preserve"> </w:t>
      </w:r>
    </w:p>
    <w:p>
      <w:pPr>
        <w:widowControl/>
        <w:ind w:firstLine="560"/>
        <w:jc w:val="left"/>
        <w:rPr>
          <w:rFonts w:eastAsia="仿宋_GB2312"/>
        </w:rPr>
      </w:pPr>
      <w:r>
        <w:rPr>
          <w:rFonts w:hint="eastAsia" w:ascii="仿宋" w:hAnsi="仿宋" w:cs="仿宋"/>
          <w:color w:val="000000"/>
          <w:kern w:val="0"/>
          <w:szCs w:val="28"/>
          <w:lang w:bidi="ar"/>
        </w:rPr>
        <w:t>仙阳湖国家湿地公园</w:t>
      </w:r>
      <w:r>
        <w:rPr>
          <w:rFonts w:ascii="仿宋" w:hAnsi="仿宋" w:cs="仿宋"/>
          <w:color w:val="000000"/>
          <w:kern w:val="0"/>
          <w:szCs w:val="28"/>
          <w:lang w:bidi="ar"/>
        </w:rPr>
        <w:t>内</w:t>
      </w:r>
      <w:r>
        <w:rPr>
          <w:rFonts w:hint="eastAsia" w:ascii="仿宋" w:hAnsi="仿宋" w:cs="仿宋"/>
          <w:color w:val="000000"/>
          <w:kern w:val="0"/>
          <w:szCs w:val="28"/>
          <w:lang w:bidi="ar"/>
        </w:rPr>
        <w:t>仙阳</w:t>
      </w:r>
      <w:r>
        <w:rPr>
          <w:rFonts w:ascii="仿宋" w:hAnsi="仿宋" w:cs="仿宋"/>
          <w:color w:val="000000"/>
          <w:kern w:val="0"/>
          <w:szCs w:val="28"/>
          <w:lang w:bidi="ar"/>
        </w:rPr>
        <w:t>湖沿岸生境多样，密林、水鸟、晨雾、夕阳等</w:t>
      </w:r>
      <w:r>
        <w:rPr>
          <w:rFonts w:hint="eastAsia" w:ascii="仿宋" w:hAnsi="仿宋" w:cs="仿宋"/>
          <w:color w:val="000000"/>
          <w:kern w:val="0"/>
          <w:szCs w:val="28"/>
          <w:lang w:bidi="ar"/>
        </w:rPr>
        <w:t>自然风光组成了一幅绝美的观光线路。</w:t>
      </w:r>
      <w:r>
        <w:rPr>
          <w:rFonts w:ascii="仿宋_GB2312" w:hAnsi="宋体" w:eastAsia="仿宋_GB2312" w:cs="仿宋_GB2312"/>
          <w:color w:val="2F2F2F"/>
          <w:kern w:val="0"/>
          <w:szCs w:val="28"/>
          <w:lang w:bidi="ar"/>
        </w:rPr>
        <w:t>游客徜徉其间，处处氤氲着清新的空气，分明是天然的高级氧吧。头上脚下到处弥漫着浓浓的水气，令人心旷神怡，神清气爽</w:t>
      </w:r>
      <w:r>
        <w:rPr>
          <w:rFonts w:hint="eastAsia" w:eastAsia="仿宋_GB2312"/>
        </w:rPr>
        <w:t>。仙阳湖水系连接着周边多个著名景点，如龙王洞、白云山森林公园、热水溪温泉、红色磨市等，通过湿地观光游可以把诸多景点有机的结合起来。规划在皂市、维新、磨市、雁池、白云镇的码头设立7个码头综合服务站，各占地面积150平方米，主要为旅游、日常巡护、渔政执法服务。</w:t>
      </w:r>
    </w:p>
    <w:p>
      <w:pPr>
        <w:widowControl/>
        <w:ind w:firstLine="562"/>
        <w:jc w:val="left"/>
        <w:rPr>
          <w:rFonts w:cs="Times New Roman"/>
          <w:b/>
          <w:bCs/>
          <w:color w:val="000000"/>
          <w:kern w:val="0"/>
          <w:szCs w:val="28"/>
          <w:lang w:bidi="ar"/>
        </w:rPr>
      </w:pPr>
      <w:r>
        <w:rPr>
          <w:rFonts w:hint="eastAsia" w:cs="Times New Roman"/>
          <w:b/>
          <w:bCs/>
          <w:color w:val="000000"/>
          <w:kern w:val="0"/>
          <w:szCs w:val="28"/>
          <w:lang w:bidi="ar"/>
        </w:rPr>
        <w:t>（</w:t>
      </w:r>
      <w:r>
        <w:rPr>
          <w:rFonts w:cs="Times New Roman"/>
          <w:b/>
          <w:bCs/>
          <w:color w:val="000000"/>
          <w:kern w:val="0"/>
          <w:szCs w:val="28"/>
          <w:lang w:bidi="ar"/>
        </w:rPr>
        <w:t>3</w:t>
      </w:r>
      <w:r>
        <w:rPr>
          <w:rFonts w:hint="eastAsia" w:cs="Times New Roman"/>
          <w:b/>
          <w:bCs/>
          <w:color w:val="000000"/>
          <w:kern w:val="0"/>
          <w:szCs w:val="28"/>
          <w:lang w:bidi="ar"/>
        </w:rPr>
        <w:t>）</w:t>
      </w:r>
      <w:r>
        <w:rPr>
          <w:rFonts w:cs="Times New Roman"/>
          <w:b/>
          <w:bCs/>
          <w:color w:val="000000"/>
          <w:kern w:val="0"/>
          <w:szCs w:val="28"/>
          <w:lang w:bidi="ar"/>
        </w:rPr>
        <w:t>参与式湿地体验旅游项目</w:t>
      </w:r>
    </w:p>
    <w:p>
      <w:pPr>
        <w:widowControl/>
        <w:ind w:firstLine="560"/>
        <w:jc w:val="left"/>
      </w:pPr>
      <w:r>
        <w:rPr>
          <w:rFonts w:ascii="仿宋" w:hAnsi="仿宋" w:cs="仿宋"/>
          <w:color w:val="000000"/>
          <w:kern w:val="0"/>
          <w:szCs w:val="28"/>
          <w:lang w:bidi="ar"/>
        </w:rPr>
        <w:t>①</w:t>
      </w:r>
      <w:r>
        <w:rPr>
          <w:rFonts w:hint="eastAsia" w:ascii="仿宋" w:hAnsi="仿宋" w:cs="仿宋"/>
          <w:color w:val="000000"/>
          <w:kern w:val="0"/>
          <w:szCs w:val="28"/>
          <w:lang w:bidi="ar"/>
        </w:rPr>
        <w:t xml:space="preserve"> </w:t>
      </w:r>
      <w:r>
        <w:rPr>
          <w:rFonts w:ascii="仿宋" w:hAnsi="仿宋" w:cs="仿宋"/>
          <w:color w:val="000000"/>
          <w:kern w:val="0"/>
          <w:szCs w:val="28"/>
          <w:lang w:bidi="ar"/>
        </w:rPr>
        <w:t xml:space="preserve">田园休闲度假游 </w:t>
      </w:r>
    </w:p>
    <w:p>
      <w:pPr>
        <w:widowControl/>
        <w:ind w:firstLine="560"/>
        <w:rPr>
          <w:rFonts w:ascii="仿宋" w:hAnsi="仿宋" w:cs="仿宋"/>
          <w:color w:val="000000"/>
          <w:kern w:val="0"/>
          <w:szCs w:val="28"/>
          <w:lang w:bidi="ar"/>
        </w:rPr>
      </w:pPr>
      <w:r>
        <w:rPr>
          <w:rFonts w:hint="eastAsia" w:ascii="仿宋" w:hAnsi="仿宋" w:cs="仿宋"/>
          <w:color w:val="000000"/>
          <w:kern w:val="0"/>
          <w:szCs w:val="28"/>
          <w:lang w:bidi="ar"/>
        </w:rPr>
        <w:t>仙阳湖国家湿地公园所处的区域有茶文化、鱼文化、农耕文化等民俗文化项目，规划在</w:t>
      </w:r>
      <w:r>
        <w:rPr>
          <w:rFonts w:hint="eastAsia" w:cs="Times New Roman"/>
        </w:rPr>
        <w:t>湿地公园周边区域结合社区</w:t>
      </w:r>
      <w:r>
        <w:rPr>
          <w:rFonts w:hint="eastAsia" w:ascii="仿宋" w:hAnsi="仿宋" w:cs="仿宋"/>
          <w:color w:val="000000"/>
          <w:kern w:val="0"/>
          <w:szCs w:val="28"/>
          <w:lang w:bidi="ar"/>
        </w:rPr>
        <w:t>建设功能齐备、居住舒适的民宿100处，游客在此可以进行耕种、采摘、生态垂钓等田园休闲活动，体验地域风土人情和丰富的人文资源，暂时逃离城市的拥挤喧嚣，享受自然乡野生活的乐趣。</w:t>
      </w:r>
    </w:p>
    <w:p>
      <w:pPr>
        <w:widowControl/>
        <w:ind w:firstLine="560"/>
        <w:jc w:val="left"/>
        <w:rPr>
          <w:rFonts w:ascii="仿宋" w:hAnsi="仿宋" w:cs="仿宋"/>
          <w:color w:val="000000"/>
          <w:kern w:val="0"/>
          <w:szCs w:val="28"/>
          <w:lang w:bidi="ar"/>
        </w:rPr>
      </w:pPr>
      <w:r>
        <w:rPr>
          <w:rFonts w:hint="eastAsia" w:ascii="仿宋" w:hAnsi="仿宋" w:cs="仿宋"/>
          <w:color w:val="000000"/>
          <w:kern w:val="0"/>
          <w:szCs w:val="28"/>
          <w:lang w:bidi="ar"/>
        </w:rPr>
        <w:fldChar w:fldCharType="begin"/>
      </w:r>
      <w:r>
        <w:rPr>
          <w:rFonts w:hint="eastAsia" w:ascii="仿宋" w:hAnsi="仿宋" w:cs="仿宋"/>
          <w:color w:val="000000"/>
          <w:kern w:val="0"/>
          <w:szCs w:val="28"/>
          <w:lang w:bidi="ar"/>
        </w:rPr>
        <w:instrText xml:space="preserve"> = 2 \* GB3 \* MERGEFORMAT </w:instrText>
      </w:r>
      <w:r>
        <w:rPr>
          <w:rFonts w:hint="eastAsia" w:ascii="仿宋" w:hAnsi="仿宋" w:cs="仿宋"/>
          <w:color w:val="000000"/>
          <w:kern w:val="0"/>
          <w:szCs w:val="28"/>
          <w:lang w:bidi="ar"/>
        </w:rPr>
        <w:fldChar w:fldCharType="separate"/>
      </w:r>
      <w:r>
        <w:t>②</w:t>
      </w:r>
      <w:r>
        <w:rPr>
          <w:rFonts w:hint="eastAsia" w:ascii="仿宋" w:hAnsi="仿宋" w:cs="仿宋"/>
          <w:color w:val="000000"/>
          <w:kern w:val="0"/>
          <w:szCs w:val="28"/>
          <w:lang w:bidi="ar"/>
        </w:rPr>
        <w:fldChar w:fldCharType="end"/>
      </w:r>
      <w:r>
        <w:rPr>
          <w:rFonts w:hint="eastAsia" w:ascii="仿宋" w:hAnsi="仿宋" w:cs="仿宋"/>
          <w:color w:val="000000"/>
          <w:kern w:val="0"/>
          <w:szCs w:val="28"/>
          <w:lang w:bidi="ar"/>
        </w:rPr>
        <w:t>国防教育拓展体验游</w:t>
      </w:r>
    </w:p>
    <w:p>
      <w:pPr>
        <w:ind w:firstLine="560"/>
        <w:rPr>
          <w:rFonts w:ascii="仿宋" w:hAnsi="仿宋" w:cs="仿宋"/>
          <w:color w:val="000000"/>
          <w:kern w:val="0"/>
          <w:szCs w:val="28"/>
          <w:lang w:bidi="ar"/>
        </w:rPr>
      </w:pPr>
      <w:r>
        <w:rPr>
          <w:rFonts w:hint="eastAsia" w:ascii="仿宋" w:hAnsi="仿宋" w:cs="仿宋"/>
          <w:color w:val="000000"/>
          <w:kern w:val="0"/>
          <w:szCs w:val="28"/>
          <w:lang w:bidi="ar"/>
        </w:rPr>
        <w:t>依托仙阳湖浓厚的红色基因，规划在月光岛新建国防教育拓展基地，拓展基地包括历史博物馆和国防教育拓展基地，游客在此可以学习仙阳湖红色文化，感受革命历史、革命传统精神。同时开展国防教育拓展训练，以</w:t>
      </w:r>
      <w:r>
        <w:rPr>
          <w:rFonts w:hint="eastAsia" w:cs="Times New Roman"/>
        </w:rPr>
        <w:t>贺龙、肖克的英雄事迹为原型设置拓展训练内容，让游客深入体验历史事件，</w:t>
      </w:r>
      <w:r>
        <w:rPr>
          <w:rFonts w:hint="eastAsia" w:ascii="仿宋" w:hAnsi="仿宋" w:cs="仿宋"/>
          <w:color w:val="000000"/>
          <w:kern w:val="0"/>
          <w:szCs w:val="28"/>
          <w:lang w:bidi="ar"/>
        </w:rPr>
        <w:t>培养游客的国防意识，激发游客民族自豪感和爱国热情。</w:t>
      </w:r>
    </w:p>
    <w:p>
      <w:pPr>
        <w:widowControl/>
        <w:ind w:firstLine="560"/>
        <w:jc w:val="left"/>
      </w:pPr>
      <w:r>
        <w:rPr>
          <w:rFonts w:cs="Times New Roman"/>
        </w:rPr>
        <w:t>③</w:t>
      </w:r>
      <w:r>
        <w:rPr>
          <w:rFonts w:hint="eastAsia" w:cs="Times New Roman"/>
        </w:rPr>
        <w:t xml:space="preserve"> </w:t>
      </w:r>
      <w:r>
        <w:rPr>
          <w:rFonts w:ascii="仿宋" w:hAnsi="仿宋" w:cs="仿宋"/>
          <w:color w:val="000000"/>
          <w:kern w:val="0"/>
          <w:szCs w:val="28"/>
          <w:lang w:bidi="ar"/>
        </w:rPr>
        <w:t>康养休闲度假游</w:t>
      </w:r>
    </w:p>
    <w:p>
      <w:pPr>
        <w:ind w:firstLine="560"/>
        <w:rPr>
          <w:rFonts w:cs="Times New Roman"/>
        </w:rPr>
      </w:pPr>
      <w:r>
        <w:rPr>
          <w:rFonts w:cs="Times New Roman"/>
        </w:rPr>
        <w:t>湿地公园四季分明，气候温和，雨水充沛，光照充足，林业资源丰富，森林覆盖率较高。依托</w:t>
      </w:r>
      <w:r>
        <w:rPr>
          <w:rFonts w:hint="eastAsia" w:cs="Times New Roman"/>
        </w:rPr>
        <w:t>仙阳湖国家湿地公园</w:t>
      </w:r>
      <w:r>
        <w:rPr>
          <w:rFonts w:cs="Times New Roman"/>
        </w:rPr>
        <w:t>优良的</w:t>
      </w:r>
      <w:r>
        <w:rPr>
          <w:rFonts w:hint="eastAsia" w:cs="Times New Roman"/>
        </w:rPr>
        <w:t>湿地景观资源和温泉热水溪</w:t>
      </w:r>
      <w:r>
        <w:rPr>
          <w:rFonts w:cs="Times New Roman"/>
        </w:rPr>
        <w:t>，</w:t>
      </w:r>
      <w:r>
        <w:rPr>
          <w:rFonts w:hint="eastAsia" w:cs="Times New Roman"/>
        </w:rPr>
        <w:t>2014版规划在此处规划了温泉康体养生园，未实施，本期延续上期</w:t>
      </w:r>
      <w:r>
        <w:rPr>
          <w:rFonts w:cs="Times New Roman"/>
        </w:rPr>
        <w:t>规划在</w:t>
      </w:r>
      <w:r>
        <w:rPr>
          <w:rFonts w:hint="eastAsia" w:cs="Times New Roman"/>
        </w:rPr>
        <w:t>晒谷堡</w:t>
      </w:r>
      <w:r>
        <w:rPr>
          <w:rFonts w:cs="Times New Roman"/>
        </w:rPr>
        <w:t>建设康养休闲基地，通过发展康养项目提升旅游发展层次，补充旅游形式，完善旅游功能。</w:t>
      </w:r>
    </w:p>
    <w:p>
      <w:pPr>
        <w:widowControl/>
        <w:ind w:firstLine="560"/>
        <w:jc w:val="left"/>
      </w:pPr>
      <w:r>
        <w:rPr>
          <w:rFonts w:ascii="仿宋_GB2312" w:hAnsi="宋体" w:eastAsia="仿宋_GB2312" w:cs="仿宋_GB2312"/>
          <w:color w:val="000000"/>
          <w:kern w:val="0"/>
          <w:szCs w:val="28"/>
          <w:lang w:bidi="ar"/>
        </w:rPr>
        <w:fldChar w:fldCharType="begin"/>
      </w:r>
      <w:r>
        <w:rPr>
          <w:rFonts w:ascii="仿宋_GB2312" w:hAnsi="宋体" w:eastAsia="仿宋_GB2312" w:cs="仿宋_GB2312"/>
          <w:color w:val="000000"/>
          <w:kern w:val="0"/>
          <w:szCs w:val="28"/>
          <w:lang w:bidi="ar"/>
        </w:rPr>
        <w:instrText xml:space="preserve"> = 4 \* GB3 \* MERGEFORMAT </w:instrText>
      </w:r>
      <w:r>
        <w:rPr>
          <w:rFonts w:ascii="仿宋_GB2312" w:hAnsi="宋体" w:eastAsia="仿宋_GB2312" w:cs="仿宋_GB2312"/>
          <w:color w:val="000000"/>
          <w:kern w:val="0"/>
          <w:szCs w:val="28"/>
          <w:lang w:bidi="ar"/>
        </w:rPr>
        <w:fldChar w:fldCharType="separate"/>
      </w:r>
      <w:r>
        <w:t>④</w:t>
      </w:r>
      <w:r>
        <w:rPr>
          <w:rFonts w:ascii="仿宋_GB2312" w:hAnsi="宋体" w:eastAsia="仿宋_GB2312" w:cs="仿宋_GB2312"/>
          <w:color w:val="000000"/>
          <w:kern w:val="0"/>
          <w:szCs w:val="28"/>
          <w:lang w:bidi="ar"/>
        </w:rPr>
        <w:fldChar w:fldCharType="end"/>
      </w:r>
      <w:r>
        <w:rPr>
          <w:rFonts w:hint="eastAsia" w:ascii="仿宋_GB2312" w:hAnsi="宋体" w:eastAsia="仿宋_GB2312" w:cs="仿宋_GB2312"/>
          <w:color w:val="000000"/>
          <w:kern w:val="0"/>
          <w:szCs w:val="28"/>
          <w:lang w:bidi="ar"/>
        </w:rPr>
        <w:t xml:space="preserve"> </w:t>
      </w:r>
      <w:r>
        <w:rPr>
          <w:rFonts w:ascii="仿宋" w:hAnsi="仿宋" w:cs="仿宋"/>
          <w:color w:val="000000"/>
          <w:kern w:val="0"/>
          <w:szCs w:val="28"/>
          <w:lang w:bidi="ar"/>
        </w:rPr>
        <w:t xml:space="preserve">湿地康体休闲游 </w:t>
      </w:r>
    </w:p>
    <w:p>
      <w:pPr>
        <w:widowControl/>
        <w:ind w:firstLine="560"/>
        <w:jc w:val="left"/>
      </w:pPr>
      <w:r>
        <w:rPr>
          <w:rFonts w:hint="eastAsia" w:ascii="仿宋" w:hAnsi="仿宋" w:cs="仿宋"/>
          <w:color w:val="000000"/>
          <w:kern w:val="0"/>
          <w:szCs w:val="28"/>
          <w:lang w:bidi="ar"/>
        </w:rPr>
        <w:t>康体休闲是在自然环境以放松心情、颐神养性为目的的一系列活动项目，在湿地公园建设环湖步道，开展沿湖骑行、湿地远足等项目，游客可驻足体验地域风土文化和人文资源。</w:t>
      </w:r>
    </w:p>
    <w:p>
      <w:pPr>
        <w:ind w:firstLine="560"/>
        <w:rPr>
          <w:rFonts w:cs="Times New Roman"/>
        </w:rPr>
      </w:pPr>
      <w:r>
        <w:rPr>
          <w:rFonts w:cs="Times New Roman"/>
        </w:rPr>
        <w:fldChar w:fldCharType="begin"/>
      </w:r>
      <w:r>
        <w:rPr>
          <w:rFonts w:cs="Times New Roman"/>
        </w:rPr>
        <w:instrText xml:space="preserve"> = 5 \* GB3 \* MERGEFORMAT </w:instrText>
      </w:r>
      <w:r>
        <w:rPr>
          <w:rFonts w:cs="Times New Roman"/>
        </w:rPr>
        <w:fldChar w:fldCharType="separate"/>
      </w:r>
      <w:r>
        <w:t>⑤</w:t>
      </w:r>
      <w:r>
        <w:rPr>
          <w:rFonts w:cs="Times New Roman"/>
        </w:rPr>
        <w:fldChar w:fldCharType="end"/>
      </w:r>
      <w:r>
        <w:rPr>
          <w:rFonts w:hint="eastAsia" w:cs="Times New Roman"/>
        </w:rPr>
        <w:t xml:space="preserve"> 垂钓体验游</w:t>
      </w:r>
    </w:p>
    <w:p>
      <w:pPr>
        <w:ind w:firstLine="560"/>
        <w:rPr>
          <w:rFonts w:cs="Times New Roman"/>
        </w:rPr>
      </w:pPr>
      <w:r>
        <w:rPr>
          <w:rFonts w:hint="eastAsia" w:cs="Times New Roman"/>
        </w:rPr>
        <w:t>仙阳湖具有深厚的垂钓文化，是全国知名的休闲垂钓基地。本次规划整合仙阳湖旅游资源，打造国内一流垂钓活动中心，在维新镇建设鱼文化园，在湖区沿岸设置定点生态垂钓场所20处，通过项目建设对鱼文化进行宣传教育，对各类垂钓赛事和休闲垂钓进行管理。</w:t>
      </w:r>
    </w:p>
    <w:p>
      <w:pPr>
        <w:ind w:firstLine="560"/>
        <w:rPr>
          <w:rFonts w:cs="Times New Roman"/>
        </w:rPr>
      </w:pPr>
      <w:r>
        <w:rPr>
          <w:rFonts w:cs="Times New Roman"/>
        </w:rPr>
        <w:fldChar w:fldCharType="begin"/>
      </w:r>
      <w:r>
        <w:rPr>
          <w:rFonts w:cs="Times New Roman"/>
        </w:rPr>
        <w:instrText xml:space="preserve"> = 6 \* GB3 \* MERGEFORMAT </w:instrText>
      </w:r>
      <w:r>
        <w:rPr>
          <w:rFonts w:cs="Times New Roman"/>
        </w:rPr>
        <w:fldChar w:fldCharType="separate"/>
      </w:r>
      <w:r>
        <w:t>⑥</w:t>
      </w:r>
      <w:r>
        <w:rPr>
          <w:rFonts w:cs="Times New Roman"/>
        </w:rPr>
        <w:fldChar w:fldCharType="end"/>
      </w:r>
      <w:r>
        <w:rPr>
          <w:rFonts w:hint="eastAsia" w:cs="Times New Roman"/>
        </w:rPr>
        <w:t xml:space="preserve"> 农耕文化体验游</w:t>
      </w:r>
    </w:p>
    <w:p>
      <w:pPr>
        <w:ind w:firstLine="560"/>
        <w:rPr>
          <w:rFonts w:cs="Times New Roman"/>
        </w:rPr>
      </w:pPr>
      <w:r>
        <w:rPr>
          <w:rFonts w:hint="eastAsia" w:cs="Times New Roman"/>
        </w:rPr>
        <w:t>如今，“日出而作，日落而息”的中国传统生活方式逐渐被遗忘，越来越多的城市孩子难以分辨麦苗和青草，曾经漫山遍野麦田、树木、野花的故乡，也在现代化进程中渐行渐远。农耕文化体验能为身处钢筋水泥建筑丛林的人们提供远离喧嚣、拥抱宁静大自然，重返悠然田园生活的去处；让整日沉迷于电脑游戏的城市孩子了解农业，亲历春种秋收的传统农业生产过程，感受“锄禾日当午，汗滴禾下土”的劳作艰辛。本期规划在湿地植物展示园附近建设农耕文化园，集中展示仙阳湖周边的农耕文化。展示收集到的生产用具、生活用具、老照片等农耕文化物件，向周边居民以及游客传递仙阳湖特色农耕文化，配备农事体验区和有机餐厅，让游客在参观和体验</w:t>
      </w:r>
      <w:r>
        <w:rPr>
          <w:rFonts w:cs="Times New Roman"/>
        </w:rPr>
        <w:t>传统农业生产模式</w:t>
      </w:r>
      <w:r>
        <w:rPr>
          <w:rFonts w:hint="eastAsia" w:cs="Times New Roman"/>
        </w:rPr>
        <w:t>的同时品尝农家特色有机美食。</w:t>
      </w:r>
    </w:p>
    <w:p>
      <w:pPr>
        <w:ind w:firstLine="560"/>
        <w:rPr>
          <w:rFonts w:cs="Times New Roman"/>
        </w:rPr>
      </w:pPr>
      <w:r>
        <w:rPr>
          <w:rFonts w:cs="Times New Roman"/>
        </w:rPr>
        <w:fldChar w:fldCharType="begin"/>
      </w:r>
      <w:r>
        <w:rPr>
          <w:rFonts w:cs="Times New Roman"/>
        </w:rPr>
        <w:instrText xml:space="preserve"> = 7 \* GB3 \* MERGEFORMAT </w:instrText>
      </w:r>
      <w:r>
        <w:rPr>
          <w:rFonts w:cs="Times New Roman"/>
        </w:rPr>
        <w:fldChar w:fldCharType="separate"/>
      </w:r>
      <w:r>
        <w:t>⑦</w:t>
      </w:r>
      <w:r>
        <w:rPr>
          <w:rFonts w:cs="Times New Roman"/>
        </w:rPr>
        <w:fldChar w:fldCharType="end"/>
      </w:r>
      <w:r>
        <w:rPr>
          <w:rFonts w:hint="eastAsia" w:cs="Times New Roman"/>
        </w:rPr>
        <w:t xml:space="preserve"> 茶文化体验游</w:t>
      </w:r>
    </w:p>
    <w:p>
      <w:pPr>
        <w:ind w:firstLine="560"/>
        <w:rPr>
          <w:rFonts w:cs="Times New Roman"/>
        </w:rPr>
      </w:pPr>
      <w:r>
        <w:rPr>
          <w:rFonts w:hint="eastAsia" w:cs="Times New Roman"/>
        </w:rPr>
        <w:t>石门是北纬30°全球两个优质茶叶生产 “绿色三角”区域之一，是第一批《全国农产品优势区域布局规划（2003—2007年）》和第二批《全国农产品优势区域布局规划（2008—2015年）》确定的茶叶优势区域重点县，是湖南省重要的有机茶产区。傍湿地公园的白云山、大同山、八户山三个有机茶产区，是石门县的茶旅文化示范基地，为进一步推动湿地公园周边茶旅文化的发展，规划在八户山建设</w:t>
      </w:r>
      <w:r>
        <w:rPr>
          <w:rFonts w:cs="Times New Roman"/>
        </w:rPr>
        <w:t>1</w:t>
      </w:r>
      <w:r>
        <w:rPr>
          <w:rFonts w:hint="eastAsia" w:cs="Times New Roman"/>
        </w:rPr>
        <w:t>处茶文化园。茶文化园配备茶文化宣教区、茶商品展示区、制茶泡茶体验区等。</w:t>
      </w:r>
    </w:p>
    <w:p>
      <w:pPr>
        <w:pStyle w:val="6"/>
        <w:numPr>
          <w:ilvl w:val="2"/>
          <w:numId w:val="66"/>
        </w:numPr>
      </w:pPr>
      <w:bookmarkStart w:id="484" w:name="_Toc113925825"/>
      <w:bookmarkStart w:id="485" w:name="_Toc113925573"/>
      <w:r>
        <w:rPr>
          <w:rFonts w:hint="eastAsia"/>
        </w:rPr>
        <w:t>旅游服务设施规划</w:t>
      </w:r>
      <w:bookmarkEnd w:id="484"/>
      <w:bookmarkEnd w:id="485"/>
    </w:p>
    <w:p>
      <w:pPr>
        <w:pStyle w:val="47"/>
        <w:numPr>
          <w:ilvl w:val="2"/>
          <w:numId w:val="68"/>
        </w:numPr>
        <w:ind w:firstLineChars="0"/>
        <w:rPr>
          <w:rFonts w:cs="Times New Roman"/>
        </w:rPr>
      </w:pPr>
      <w:r>
        <w:rPr>
          <w:rFonts w:hint="eastAsia" w:cs="Times New Roman"/>
        </w:rPr>
        <w:t>现状分析</w:t>
      </w:r>
    </w:p>
    <w:p>
      <w:pPr>
        <w:ind w:firstLine="560"/>
        <w:rPr>
          <w:rFonts w:cs="Times New Roman"/>
        </w:rPr>
      </w:pPr>
      <w:r>
        <w:rPr>
          <w:rFonts w:hint="eastAsia" w:cs="Times New Roman"/>
        </w:rPr>
        <w:t>仙阳湖国家湿地公园前期投入大量资金主要用于湿地保护与恢复工程建设，目前仅合理利用区具有基本的休闲旅游基础设施，但是休闲旅游服务设施仅能满足现有开发利用强度下的需要，还有待逐步完善。</w:t>
      </w:r>
    </w:p>
    <w:p>
      <w:pPr>
        <w:pStyle w:val="47"/>
        <w:numPr>
          <w:ilvl w:val="2"/>
          <w:numId w:val="68"/>
        </w:numPr>
        <w:ind w:firstLineChars="0"/>
        <w:rPr>
          <w:rFonts w:cs="Times New Roman"/>
        </w:rPr>
      </w:pPr>
      <w:r>
        <w:rPr>
          <w:rFonts w:hint="eastAsia" w:cs="Times New Roman"/>
        </w:rPr>
        <w:t>建设原则</w:t>
      </w:r>
    </w:p>
    <w:p>
      <w:pPr>
        <w:ind w:firstLine="560"/>
        <w:rPr>
          <w:rFonts w:cs="Times New Roman"/>
        </w:rPr>
      </w:pPr>
      <w:r>
        <w:rPr>
          <w:rFonts w:hint="eastAsia" w:cs="Times New Roman"/>
        </w:rPr>
        <w:t>① 游览设施规划必须服从国家湿地公园所确定的总原则，以不破坏自然景观和人文景观、满足游客需求为出发点。</w:t>
      </w:r>
    </w:p>
    <w:p>
      <w:pPr>
        <w:ind w:firstLine="560"/>
        <w:rPr>
          <w:rFonts w:cs="Times New Roman"/>
        </w:rPr>
      </w:pPr>
      <w:r>
        <w:rPr>
          <w:rFonts w:hint="eastAsia" w:cs="Times New Roman"/>
        </w:rPr>
        <w:t>② 按湿地公园的合理环境容量、旅游发展趋势、休闲游览路线组织等情况合理布局。</w:t>
      </w:r>
    </w:p>
    <w:p>
      <w:pPr>
        <w:ind w:firstLine="560"/>
        <w:rPr>
          <w:rFonts w:cs="Times New Roman"/>
        </w:rPr>
      </w:pPr>
      <w:r>
        <w:rPr>
          <w:rFonts w:hint="eastAsia" w:cs="Times New Roman"/>
        </w:rPr>
        <w:fldChar w:fldCharType="begin"/>
      </w:r>
      <w:r>
        <w:rPr>
          <w:rFonts w:hint="eastAsia" w:cs="Times New Roman"/>
        </w:rPr>
        <w:instrText xml:space="preserve"> = 3 \* GB3 \* MERGEFORMAT </w:instrText>
      </w:r>
      <w:r>
        <w:rPr>
          <w:rFonts w:hint="eastAsia" w:cs="Times New Roman"/>
        </w:rPr>
        <w:fldChar w:fldCharType="separate"/>
      </w:r>
      <w:r>
        <w:t>③</w:t>
      </w:r>
      <w:r>
        <w:rPr>
          <w:rFonts w:hint="eastAsia" w:cs="Times New Roman"/>
        </w:rPr>
        <w:fldChar w:fldCharType="end"/>
      </w:r>
      <w:r>
        <w:rPr>
          <w:rFonts w:hint="eastAsia" w:cs="Times New Roman"/>
        </w:rPr>
        <w:t xml:space="preserve"> 为保护湿地公园生态环境，休闲旅游服务设施以石门县为依托，确定湿地公园为</w:t>
      </w:r>
      <w:r>
        <w:rPr>
          <w:rFonts w:hint="eastAsia" w:ascii="仿宋" w:hAnsi="仿宋" w:cs="仿宋"/>
        </w:rPr>
        <w:t>“景区游，城乡住”</w:t>
      </w:r>
      <w:r>
        <w:rPr>
          <w:rFonts w:hint="eastAsia" w:cs="Times New Roman"/>
        </w:rPr>
        <w:t>的原则。</w:t>
      </w:r>
    </w:p>
    <w:p>
      <w:pPr>
        <w:ind w:firstLine="560"/>
        <w:rPr>
          <w:rFonts w:cs="Times New Roman"/>
        </w:rPr>
      </w:pPr>
      <w:r>
        <w:rPr>
          <w:rFonts w:hint="eastAsia" w:cs="Times New Roman"/>
        </w:rPr>
        <w:fldChar w:fldCharType="begin"/>
      </w:r>
      <w:r>
        <w:rPr>
          <w:rFonts w:hint="eastAsia" w:cs="Times New Roman"/>
        </w:rPr>
        <w:instrText xml:space="preserve"> = 4 \* GB3 \* MERGEFORMAT </w:instrText>
      </w:r>
      <w:r>
        <w:rPr>
          <w:rFonts w:hint="eastAsia" w:cs="Times New Roman"/>
        </w:rPr>
        <w:fldChar w:fldCharType="separate"/>
      </w:r>
      <w:r>
        <w:t>④</w:t>
      </w:r>
      <w:r>
        <w:rPr>
          <w:rFonts w:hint="eastAsia" w:cs="Times New Roman"/>
        </w:rPr>
        <w:fldChar w:fldCharType="end"/>
      </w:r>
      <w:r>
        <w:rPr>
          <w:rFonts w:hint="eastAsia" w:cs="Times New Roman"/>
        </w:rPr>
        <w:t xml:space="preserve"> 游览设施宜相对集中，位置的选择应有利于组织便捷的公共游览交通，对外交通枢纽有直接联系，对内能利于接近游览点。</w:t>
      </w:r>
    </w:p>
    <w:p>
      <w:pPr>
        <w:pStyle w:val="47"/>
        <w:numPr>
          <w:ilvl w:val="2"/>
          <w:numId w:val="68"/>
        </w:numPr>
        <w:ind w:firstLineChars="0"/>
        <w:rPr>
          <w:rFonts w:cs="Times New Roman"/>
        </w:rPr>
      </w:pPr>
      <w:r>
        <w:rPr>
          <w:rFonts w:hint="eastAsia" w:cs="Times New Roman"/>
        </w:rPr>
        <w:t>建设内容</w:t>
      </w:r>
    </w:p>
    <w:p>
      <w:pPr>
        <w:ind w:firstLine="560"/>
        <w:rPr>
          <w:rFonts w:cs="Times New Roman"/>
        </w:rPr>
      </w:pPr>
      <w:r>
        <w:rPr>
          <w:rFonts w:hint="eastAsia" w:cs="Times New Roman"/>
        </w:rPr>
        <w:t>① 游客服务中心</w:t>
      </w:r>
    </w:p>
    <w:p>
      <w:pPr>
        <w:ind w:firstLine="560"/>
        <w:rPr>
          <w:rFonts w:cs="Times New Roman"/>
        </w:rPr>
      </w:pPr>
      <w:r>
        <w:rPr>
          <w:rFonts w:hint="eastAsia" w:cs="Times New Roman"/>
        </w:rPr>
        <w:t>规划在皂市镇生态停车场附近设置1处游客服务中心，规划建筑占地面积667</w:t>
      </w:r>
      <w:r>
        <w:rPr>
          <w:rFonts w:cs="Times New Roman"/>
        </w:rPr>
        <w:t>0</w:t>
      </w:r>
      <w:r>
        <w:rPr>
          <w:rFonts w:hint="eastAsia" w:cs="Times New Roman"/>
        </w:rPr>
        <w:t>平方米，在晒谷堡设置1处游客服务中心，与农耕文化园共建，游客服务中心主要为游客提供咨询、导向、展示、休憩、商业、餐饮等一系列的服务，服务中心位于出入公园的集散区域，提供各项便民服务，满足游客的相关需求。</w:t>
      </w:r>
    </w:p>
    <w:p>
      <w:pPr>
        <w:widowControl/>
        <w:ind w:firstLine="560"/>
        <w:jc w:val="left"/>
      </w:pPr>
      <w:r>
        <w:rPr>
          <w:rFonts w:ascii="仿宋" w:hAnsi="仿宋" w:cs="仿宋"/>
          <w:color w:val="000000"/>
          <w:kern w:val="0"/>
          <w:szCs w:val="28"/>
          <w:lang w:bidi="ar"/>
        </w:rPr>
        <w:fldChar w:fldCharType="begin"/>
      </w:r>
      <w:r>
        <w:rPr>
          <w:rFonts w:ascii="仿宋" w:hAnsi="仿宋" w:cs="仿宋"/>
          <w:color w:val="000000"/>
          <w:kern w:val="0"/>
          <w:szCs w:val="28"/>
          <w:lang w:bidi="ar"/>
        </w:rPr>
        <w:instrText xml:space="preserve"> = 2 \* GB3 \* MERGEFORMAT </w:instrText>
      </w:r>
      <w:r>
        <w:rPr>
          <w:rFonts w:ascii="仿宋" w:hAnsi="仿宋" w:cs="仿宋"/>
          <w:color w:val="000000"/>
          <w:kern w:val="0"/>
          <w:szCs w:val="28"/>
          <w:lang w:bidi="ar"/>
        </w:rPr>
        <w:fldChar w:fldCharType="separate"/>
      </w:r>
      <w:r>
        <w:t>②</w:t>
      </w:r>
      <w:r>
        <w:rPr>
          <w:rFonts w:ascii="仿宋" w:hAnsi="仿宋" w:cs="仿宋"/>
          <w:color w:val="000000"/>
          <w:kern w:val="0"/>
          <w:szCs w:val="28"/>
          <w:lang w:bidi="ar"/>
        </w:rPr>
        <w:fldChar w:fldCharType="end"/>
      </w:r>
      <w:r>
        <w:rPr>
          <w:rFonts w:hint="eastAsia" w:ascii="仿宋" w:hAnsi="仿宋" w:cs="仿宋"/>
          <w:color w:val="000000"/>
          <w:kern w:val="0"/>
          <w:szCs w:val="28"/>
          <w:lang w:bidi="ar"/>
        </w:rPr>
        <w:t xml:space="preserve"> </w:t>
      </w:r>
      <w:r>
        <w:rPr>
          <w:rFonts w:ascii="仿宋" w:hAnsi="仿宋" w:cs="仿宋"/>
          <w:color w:val="000000"/>
          <w:kern w:val="0"/>
          <w:szCs w:val="28"/>
          <w:lang w:bidi="ar"/>
        </w:rPr>
        <w:t>住宿设施</w:t>
      </w:r>
    </w:p>
    <w:p>
      <w:pPr>
        <w:ind w:firstLine="560"/>
      </w:pPr>
      <w:r>
        <w:rPr>
          <w:rFonts w:hint="eastAsia"/>
          <w:lang w:bidi="ar"/>
        </w:rPr>
        <w:t>规划在湿地公园周边结合社区建设配套接待设施完善的民宿</w:t>
      </w:r>
      <w:r>
        <w:rPr>
          <w:rFonts w:eastAsia="宋体" w:cs="Times New Roman"/>
          <w:lang w:bidi="ar"/>
        </w:rPr>
        <w:t>100</w:t>
      </w:r>
      <w:r>
        <w:rPr>
          <w:rFonts w:hint="eastAsia"/>
          <w:lang w:bidi="ar"/>
        </w:rPr>
        <w:t>处。同时，湿地公园离城镇较近，城镇的宾馆酒店可充分的保障游客的住宿需要。</w:t>
      </w:r>
    </w:p>
    <w:p>
      <w:pPr>
        <w:ind w:firstLine="560"/>
        <w:rPr>
          <w:rFonts w:cs="Times New Roman"/>
        </w:rPr>
      </w:pPr>
      <w:r>
        <w:rPr>
          <w:rFonts w:cs="Times New Roman"/>
        </w:rPr>
        <w:fldChar w:fldCharType="begin"/>
      </w:r>
      <w:r>
        <w:rPr>
          <w:rFonts w:cs="Times New Roman"/>
        </w:rPr>
        <w:instrText xml:space="preserve"> = 3 \* GB3 \* MERGEFORMAT </w:instrText>
      </w:r>
      <w:r>
        <w:rPr>
          <w:rFonts w:cs="Times New Roman"/>
        </w:rPr>
        <w:fldChar w:fldCharType="separate"/>
      </w:r>
      <w:r>
        <w:t>③</w:t>
      </w:r>
      <w:r>
        <w:rPr>
          <w:rFonts w:cs="Times New Roman"/>
        </w:rPr>
        <w:fldChar w:fldCharType="end"/>
      </w:r>
      <w:r>
        <w:rPr>
          <w:rFonts w:hint="eastAsia" w:cs="Times New Roman"/>
        </w:rPr>
        <w:t xml:space="preserve"> 医疗应急设施设备</w:t>
      </w:r>
    </w:p>
    <w:p>
      <w:pPr>
        <w:ind w:firstLine="560"/>
        <w:rPr>
          <w:rFonts w:cs="Times New Roman"/>
        </w:rPr>
      </w:pPr>
      <w:r>
        <w:rPr>
          <w:rFonts w:hint="eastAsia" w:cs="Times New Roman"/>
        </w:rPr>
        <w:t>为了保障游客的健康安全，完善突发疾病及伤害的应急处理，规划在游客服务中心设立医疗救护室，配备医务人员和常规药品，并且与石门县相关医院建立服务联系网络，以使病人得到及时治疗。另外在湿地公园的主要车行道、游步道，设置医疗急救电话；在湿地公园导游图等宣传资料上标示公园内的专用医疗急救电话号码。</w:t>
      </w:r>
    </w:p>
    <w:p>
      <w:pPr>
        <w:ind w:firstLine="560"/>
        <w:rPr>
          <w:rFonts w:cs="Times New Roman"/>
        </w:rPr>
      </w:pPr>
      <w:r>
        <w:rPr>
          <w:rFonts w:cs="Times New Roman"/>
        </w:rPr>
        <w:fldChar w:fldCharType="begin"/>
      </w:r>
      <w:r>
        <w:rPr>
          <w:rFonts w:cs="Times New Roman"/>
        </w:rPr>
        <w:instrText xml:space="preserve"> = 4 \* GB3 \* MERGEFORMAT </w:instrText>
      </w:r>
      <w:r>
        <w:rPr>
          <w:rFonts w:cs="Times New Roman"/>
        </w:rPr>
        <w:fldChar w:fldCharType="separate"/>
      </w:r>
      <w:r>
        <w:t>④</w:t>
      </w:r>
      <w:r>
        <w:rPr>
          <w:rFonts w:cs="Times New Roman"/>
        </w:rPr>
        <w:fldChar w:fldCharType="end"/>
      </w:r>
      <w:r>
        <w:rPr>
          <w:rFonts w:hint="eastAsia" w:cs="Times New Roman"/>
        </w:rPr>
        <w:t xml:space="preserve"> 旅游标识系统规划</w:t>
      </w:r>
    </w:p>
    <w:p>
      <w:pPr>
        <w:ind w:firstLine="560"/>
        <w:rPr>
          <w:rFonts w:cs="Times New Roman"/>
        </w:rPr>
      </w:pPr>
      <w:r>
        <w:rPr>
          <w:rFonts w:hint="eastAsia" w:cs="Times New Roman"/>
        </w:rPr>
        <w:t>旅游区的标识系统对旅游者了解旅游区的大概内容、旅游景点的分布有着很重要的作用。除此之外，人口集散地区、主要交通要道旁的巨幅广告牌也是极好的宣传导向标识。（该项投资已纳入解说标识系统建设，详见第7章）。</w:t>
      </w:r>
    </w:p>
    <w:p>
      <w:pPr>
        <w:ind w:firstLine="560"/>
        <w:rPr>
          <w:rFonts w:cs="Times New Roman"/>
        </w:rPr>
      </w:pPr>
      <w:r>
        <w:rPr>
          <w:rFonts w:cs="Times New Roman"/>
        </w:rPr>
        <w:fldChar w:fldCharType="begin"/>
      </w:r>
      <w:r>
        <w:rPr>
          <w:rFonts w:cs="Times New Roman"/>
        </w:rPr>
        <w:instrText xml:space="preserve"> = 5 \* GB3 \* MERGEFORMAT </w:instrText>
      </w:r>
      <w:r>
        <w:rPr>
          <w:rFonts w:cs="Times New Roman"/>
        </w:rPr>
        <w:fldChar w:fldCharType="separate"/>
      </w:r>
      <w:r>
        <w:t>⑤</w:t>
      </w:r>
      <w:r>
        <w:rPr>
          <w:rFonts w:cs="Times New Roman"/>
        </w:rPr>
        <w:fldChar w:fldCharType="end"/>
      </w:r>
      <w:r>
        <w:rPr>
          <w:rFonts w:hint="eastAsia" w:cs="Times New Roman"/>
        </w:rPr>
        <w:t xml:space="preserve"> 环卫设施规划</w:t>
      </w:r>
    </w:p>
    <w:p>
      <w:pPr>
        <w:ind w:firstLine="560"/>
      </w:pPr>
      <w:r>
        <w:rPr>
          <w:rFonts w:hint="eastAsia" w:cs="Times New Roman"/>
        </w:rPr>
        <w:t>为了保护湿地公园的生态环境，湿地公园应将生态厕所建设在人为活动密集区域。规划生态厕所和生态农副产品展示销售、游客服务一体化进行建设，在环湖公路、马鞍岛等建设</w:t>
      </w:r>
      <w:r>
        <w:rPr>
          <w:rFonts w:cs="Times New Roman"/>
        </w:rPr>
        <w:t>20</w:t>
      </w:r>
      <w:r>
        <w:rPr>
          <w:rFonts w:hint="eastAsia" w:cs="Times New Roman"/>
        </w:rPr>
        <w:t>处，建筑占地面积各500平方米。</w:t>
      </w:r>
    </w:p>
    <w:p>
      <w:pPr>
        <w:pStyle w:val="16"/>
        <w:spacing w:after="0"/>
        <w:ind w:firstLine="0" w:firstLineChars="0"/>
      </w:pPr>
      <w:r>
        <w:rPr>
          <w:rFonts w:hint="eastAsia"/>
        </w:rPr>
        <w:drawing>
          <wp:inline distT="0" distB="0" distL="114300" distR="114300">
            <wp:extent cx="5650865" cy="2076450"/>
            <wp:effectExtent l="0" t="0" r="6985" b="0"/>
            <wp:docPr id="8" name="图片 8" descr="公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公厕"/>
                    <pic:cNvPicPr>
                      <a:picLocks noChangeAspect="1"/>
                    </pic:cNvPicPr>
                  </pic:nvPicPr>
                  <pic:blipFill>
                    <a:blip r:embed="rId47"/>
                    <a:stretch>
                      <a:fillRect/>
                    </a:stretch>
                  </pic:blipFill>
                  <pic:spPr>
                    <a:xfrm>
                      <a:off x="0" y="0"/>
                      <a:ext cx="5650865" cy="2076450"/>
                    </a:xfrm>
                    <a:prstGeom prst="rect">
                      <a:avLst/>
                    </a:prstGeom>
                  </pic:spPr>
                </pic:pic>
              </a:graphicData>
            </a:graphic>
          </wp:inline>
        </w:drawing>
      </w:r>
    </w:p>
    <w:p>
      <w:pPr>
        <w:widowControl/>
        <w:ind w:firstLine="0" w:firstLineChars="0"/>
        <w:jc w:val="center"/>
        <w:rPr>
          <w:rFonts w:eastAsia="黑体" w:cs="Times New Roman"/>
          <w:color w:val="000000"/>
          <w:kern w:val="0"/>
          <w:sz w:val="24"/>
          <w:lang w:bidi="ar"/>
        </w:rPr>
      </w:pPr>
      <w:r>
        <w:rPr>
          <w:rFonts w:eastAsia="黑体" w:cs="Times New Roman"/>
          <w:color w:val="000000"/>
          <w:kern w:val="0"/>
          <w:sz w:val="24"/>
          <w:lang w:bidi="ar"/>
        </w:rPr>
        <w:t>图9-</w:t>
      </w:r>
      <w:r>
        <w:rPr>
          <w:rFonts w:hint="eastAsia" w:eastAsia="黑体" w:cs="Times New Roman"/>
          <w:color w:val="000000"/>
          <w:kern w:val="0"/>
          <w:sz w:val="24"/>
          <w:lang w:bidi="ar"/>
        </w:rPr>
        <w:t>2</w:t>
      </w:r>
      <w:r>
        <w:rPr>
          <w:rFonts w:eastAsia="黑体" w:cs="Times New Roman"/>
          <w:color w:val="000000"/>
          <w:kern w:val="0"/>
          <w:sz w:val="24"/>
          <w:lang w:bidi="ar"/>
        </w:rPr>
        <w:t xml:space="preserve"> </w:t>
      </w:r>
      <w:r>
        <w:rPr>
          <w:rFonts w:hint="eastAsia" w:eastAsia="黑体" w:cs="Times New Roman"/>
          <w:color w:val="000000"/>
          <w:kern w:val="0"/>
          <w:sz w:val="24"/>
          <w:lang w:bidi="ar"/>
        </w:rPr>
        <w:t>生态厕所</w:t>
      </w:r>
      <w:r>
        <w:rPr>
          <w:rFonts w:eastAsia="黑体" w:cs="Times New Roman"/>
          <w:color w:val="000000"/>
          <w:kern w:val="0"/>
          <w:sz w:val="24"/>
          <w:lang w:bidi="ar"/>
        </w:rPr>
        <w:t>意向图</w:t>
      </w:r>
    </w:p>
    <w:p>
      <w:pPr>
        <w:ind w:firstLine="560"/>
        <w:rPr>
          <w:rFonts w:cs="Times New Roman"/>
        </w:rPr>
      </w:pPr>
      <w:r>
        <w:rPr>
          <w:rFonts w:hint="eastAsia" w:cs="Times New Roman"/>
        </w:rPr>
        <w:t>为了保护湿地公园的生态环境，应要求游客将产生的垃圾带出湿地公园，规划仅在访客中心、湿地科普宣教中心、湿地生态教育中心、湿地保护管理站，以及湿地公园外围游客集中活动区域设置垃圾箱，共布设垃圾箱50</w:t>
      </w:r>
      <w:r>
        <w:rPr>
          <w:rFonts w:cs="Times New Roman"/>
        </w:rPr>
        <w:t>0</w:t>
      </w:r>
      <w:r>
        <w:rPr>
          <w:rFonts w:hint="eastAsia" w:cs="Times New Roman"/>
        </w:rPr>
        <w:t>个。垃圾箱可制作成动物、植物形状或仿木，仿竹式样。</w:t>
      </w:r>
    </w:p>
    <w:p>
      <w:pPr>
        <w:ind w:firstLine="560"/>
        <w:rPr>
          <w:rFonts w:cs="Times New Roman"/>
        </w:rPr>
      </w:pPr>
      <w:r>
        <w:rPr>
          <w:rFonts w:cs="Times New Roman"/>
        </w:rPr>
        <w:fldChar w:fldCharType="begin"/>
      </w:r>
      <w:r>
        <w:rPr>
          <w:rFonts w:cs="Times New Roman"/>
        </w:rPr>
        <w:instrText xml:space="preserve"> = 6 \* GB3 \* MERGEFORMAT </w:instrText>
      </w:r>
      <w:r>
        <w:rPr>
          <w:rFonts w:cs="Times New Roman"/>
        </w:rPr>
        <w:fldChar w:fldCharType="separate"/>
      </w:r>
      <w:r>
        <w:t>⑥</w:t>
      </w:r>
      <w:r>
        <w:rPr>
          <w:rFonts w:cs="Times New Roman"/>
        </w:rPr>
        <w:fldChar w:fldCharType="end"/>
      </w:r>
      <w:r>
        <w:rPr>
          <w:rFonts w:hint="eastAsia" w:cs="Times New Roman"/>
        </w:rPr>
        <w:t xml:space="preserve"> 交通服务设施规划</w:t>
      </w:r>
    </w:p>
    <w:p>
      <w:pPr>
        <w:ind w:firstLine="560"/>
        <w:rPr>
          <w:rFonts w:cs="Times New Roman"/>
        </w:rPr>
      </w:pPr>
      <w:r>
        <w:rPr>
          <w:rFonts w:hint="eastAsia" w:cs="Times New Roman"/>
        </w:rPr>
        <w:t>规划在新建白云山-八户山观光索道，打通仙阳湖和白云山交通瓶颈，聚合白云山市级森林公园和仙阳湖国家湿地公园的旅游资源，形成合力，推动石门中部生态旅游集群建设。此外，拟购置小型客车5辆，电瓶车</w:t>
      </w:r>
      <w:r>
        <w:rPr>
          <w:rFonts w:cs="Times New Roman"/>
        </w:rPr>
        <w:t>15</w:t>
      </w:r>
      <w:r>
        <w:rPr>
          <w:rFonts w:hint="eastAsia" w:cs="Times New Roman"/>
        </w:rPr>
        <w:t>辆，观光船</w:t>
      </w:r>
      <w:r>
        <w:rPr>
          <w:rFonts w:cs="Times New Roman"/>
        </w:rPr>
        <w:t>6</w:t>
      </w:r>
      <w:r>
        <w:rPr>
          <w:rFonts w:hint="eastAsia" w:cs="Times New Roman"/>
        </w:rPr>
        <w:t>艘，服务于生态旅游。</w:t>
      </w:r>
    </w:p>
    <w:p>
      <w:pPr>
        <w:pStyle w:val="6"/>
        <w:numPr>
          <w:ilvl w:val="2"/>
          <w:numId w:val="66"/>
        </w:numPr>
      </w:pPr>
      <w:bookmarkStart w:id="486" w:name="_Toc113925574"/>
      <w:bookmarkStart w:id="487" w:name="_Toc113925826"/>
      <w:r>
        <w:rPr>
          <w:rFonts w:hint="eastAsia"/>
        </w:rPr>
        <w:t>游览路线规划</w:t>
      </w:r>
      <w:bookmarkEnd w:id="486"/>
      <w:bookmarkEnd w:id="487"/>
    </w:p>
    <w:p>
      <w:pPr>
        <w:pStyle w:val="47"/>
        <w:numPr>
          <w:ilvl w:val="0"/>
          <w:numId w:val="69"/>
        </w:numPr>
        <w:rPr>
          <w:rFonts w:cs="Times New Roman"/>
        </w:rPr>
      </w:pPr>
      <w:r>
        <w:rPr>
          <w:rFonts w:hint="eastAsia" w:cs="Times New Roman"/>
        </w:rPr>
        <w:t>规划原则</w:t>
      </w:r>
    </w:p>
    <w:p>
      <w:pPr>
        <w:ind w:firstLine="560"/>
        <w:rPr>
          <w:rFonts w:cs="Times New Roman"/>
        </w:rPr>
      </w:pPr>
      <w:r>
        <w:rPr>
          <w:rFonts w:hint="eastAsia" w:cs="Times New Roman"/>
        </w:rPr>
        <w:t>① 旅游路线应考虑不同类型游客的需求，线路灵活，可选性强。</w:t>
      </w:r>
    </w:p>
    <w:p>
      <w:pPr>
        <w:ind w:firstLine="560"/>
        <w:rPr>
          <w:rFonts w:cs="Times New Roman"/>
        </w:rPr>
      </w:pPr>
      <w:r>
        <w:rPr>
          <w:rFonts w:hint="eastAsia" w:cs="Times New Roman"/>
        </w:rPr>
        <w:t>② 旅游路线主题突出，让游客可以明确的选择自己喜欢的线路。</w:t>
      </w:r>
    </w:p>
    <w:p>
      <w:pPr>
        <w:ind w:firstLine="560"/>
        <w:rPr>
          <w:rFonts w:cs="Times New Roman"/>
        </w:rPr>
      </w:pPr>
      <w:r>
        <w:rPr>
          <w:rFonts w:hint="eastAsia" w:cs="Times New Roman"/>
        </w:rPr>
        <w:t>③ 有利于游客管理和导游，有利于游客各方面的安全；有利于合理安排游客的吃、住、行、游、购、娱等活动。</w:t>
      </w:r>
    </w:p>
    <w:p>
      <w:pPr>
        <w:ind w:firstLine="560"/>
        <w:rPr>
          <w:rFonts w:cs="Times New Roman"/>
        </w:rPr>
      </w:pPr>
      <w:r>
        <w:rPr>
          <w:rFonts w:hint="eastAsia" w:cs="Times New Roman"/>
        </w:rPr>
        <w:t>④ 充分考虑游客的需要，尽量形成旅游环线，不走回头路。</w:t>
      </w:r>
    </w:p>
    <w:p>
      <w:pPr>
        <w:ind w:firstLine="560"/>
        <w:rPr>
          <w:rFonts w:cs="Times New Roman"/>
        </w:rPr>
      </w:pPr>
      <w:r>
        <w:rPr>
          <w:rFonts w:hint="eastAsia" w:cs="Times New Roman"/>
        </w:rPr>
        <w:t>⑤ 注意生态环境和风景资源保护，避免对景观与环境产生破坏。</w:t>
      </w:r>
    </w:p>
    <w:p>
      <w:pPr>
        <w:pStyle w:val="47"/>
        <w:numPr>
          <w:ilvl w:val="0"/>
          <w:numId w:val="69"/>
        </w:numPr>
        <w:rPr>
          <w:rFonts w:cs="Times New Roman"/>
        </w:rPr>
      </w:pPr>
      <w:r>
        <w:rPr>
          <w:rFonts w:hint="eastAsia" w:cs="Times New Roman"/>
        </w:rPr>
        <w:t>线路组织</w:t>
      </w:r>
    </w:p>
    <w:p>
      <w:pPr>
        <w:ind w:firstLine="560"/>
        <w:rPr>
          <w:rFonts w:cs="Times New Roman"/>
        </w:rPr>
      </w:pPr>
      <w:r>
        <w:rPr>
          <w:rFonts w:hint="eastAsia" w:cs="Times New Roman"/>
        </w:rPr>
        <w:t>以合理利用区为中心旅游接待基地起点，包含了湿地植物展示园、湿地科普宣教中心、湿地科普宣教长廊等，集湿地科普、湿地体验、观鸟、康体休闲等游乐活动为一体。</w:t>
      </w:r>
    </w:p>
    <w:p>
      <w:pPr>
        <w:ind w:firstLine="560"/>
        <w:rPr>
          <w:rFonts w:cs="Times New Roman"/>
        </w:rPr>
      </w:pPr>
      <w:r>
        <w:rPr>
          <w:rFonts w:ascii="仿宋" w:hAnsi="仿宋" w:cs="仿宋"/>
          <w:color w:val="000000"/>
          <w:kern w:val="0"/>
          <w:szCs w:val="28"/>
          <w:lang w:bidi="ar"/>
        </w:rPr>
        <w:t>以上规划内容见表</w:t>
      </w:r>
      <w:r>
        <w:rPr>
          <w:rFonts w:hint="eastAsia" w:eastAsia="宋体" w:cs="Times New Roman"/>
          <w:color w:val="000000"/>
          <w:kern w:val="0"/>
          <w:szCs w:val="28"/>
          <w:lang w:bidi="ar"/>
        </w:rPr>
        <w:t>9</w:t>
      </w:r>
      <w:r>
        <w:rPr>
          <w:rFonts w:eastAsia="宋体" w:cs="Times New Roman"/>
          <w:color w:val="000000"/>
          <w:kern w:val="0"/>
          <w:szCs w:val="28"/>
          <w:lang w:bidi="ar"/>
        </w:rPr>
        <w:t>-</w:t>
      </w:r>
      <w:r>
        <w:rPr>
          <w:rFonts w:hint="eastAsia" w:eastAsia="宋体" w:cs="Times New Roman"/>
          <w:color w:val="000000"/>
          <w:kern w:val="0"/>
          <w:szCs w:val="28"/>
          <w:lang w:bidi="ar"/>
        </w:rPr>
        <w:t>3。</w:t>
      </w:r>
    </w:p>
    <w:p>
      <w:pPr>
        <w:pStyle w:val="14"/>
        <w:keepNext/>
        <w:spacing w:before="197" w:after="0" w:afterLines="0"/>
        <w:rPr>
          <w:rFonts w:ascii="黑体" w:hAnsi="黑体" w:cs="黑体"/>
          <w:sz w:val="24"/>
          <w:szCs w:val="24"/>
        </w:rPr>
      </w:pPr>
      <w:r>
        <w:rPr>
          <w:rFonts w:hint="eastAsia" w:ascii="黑体" w:hAnsi="黑体" w:cs="黑体"/>
          <w:sz w:val="24"/>
          <w:szCs w:val="24"/>
        </w:rPr>
        <w:t>仙阳湖国家湿地公园合理利用规划建设内容汇总表</w:t>
      </w:r>
    </w:p>
    <w:p>
      <w:pPr>
        <w:spacing w:line="240" w:lineRule="auto"/>
        <w:ind w:firstLine="0" w:firstLineChars="0"/>
        <w:rPr>
          <w:rFonts w:cs="Times New Roman"/>
          <w:sz w:val="21"/>
          <w:szCs w:val="21"/>
        </w:rPr>
      </w:pPr>
      <w:r>
        <w:rPr>
          <w:rFonts w:hint="eastAsia" w:ascii="黑体" w:hAnsi="黑体" w:eastAsia="黑体" w:cs="黑体"/>
          <w:sz w:val="21"/>
          <w:szCs w:val="21"/>
        </w:rPr>
        <w:t>表</w:t>
      </w:r>
      <w:r>
        <w:rPr>
          <w:rFonts w:ascii="黑体" w:hAnsi="黑体" w:eastAsia="黑体" w:cs="黑体"/>
          <w:sz w:val="21"/>
          <w:szCs w:val="21"/>
        </w:rPr>
        <w:fldChar w:fldCharType="begin"/>
      </w:r>
      <w:r>
        <w:rPr>
          <w:rFonts w:ascii="黑体" w:hAnsi="黑体" w:eastAsia="黑体" w:cs="黑体"/>
          <w:sz w:val="21"/>
          <w:szCs w:val="21"/>
        </w:rPr>
        <w:instrText xml:space="preserve"> </w:instrText>
      </w:r>
      <w:r>
        <w:rPr>
          <w:rFonts w:hint="eastAsia" w:ascii="黑体" w:hAnsi="黑体" w:eastAsia="黑体" w:cs="黑体"/>
          <w:sz w:val="21"/>
          <w:szCs w:val="21"/>
        </w:rPr>
        <w:instrText xml:space="preserve">STYLEREF 1 \s</w:instrText>
      </w:r>
      <w:r>
        <w:rPr>
          <w:rFonts w:ascii="黑体" w:hAnsi="黑体" w:eastAsia="黑体" w:cs="黑体"/>
          <w:sz w:val="21"/>
          <w:szCs w:val="21"/>
        </w:rPr>
        <w:instrText xml:space="preserve"> </w:instrText>
      </w:r>
      <w:r>
        <w:rPr>
          <w:rFonts w:ascii="黑体" w:hAnsi="黑体" w:eastAsia="黑体" w:cs="黑体"/>
          <w:sz w:val="21"/>
          <w:szCs w:val="21"/>
        </w:rPr>
        <w:fldChar w:fldCharType="separate"/>
      </w:r>
      <w:r>
        <w:rPr>
          <w:rFonts w:ascii="黑体" w:hAnsi="黑体" w:eastAsia="黑体" w:cs="黑体"/>
          <w:sz w:val="21"/>
          <w:szCs w:val="21"/>
        </w:rPr>
        <w:t>9</w:t>
      </w:r>
      <w:r>
        <w:rPr>
          <w:rFonts w:ascii="黑体" w:hAnsi="黑体" w:eastAsia="黑体" w:cs="黑体"/>
          <w:sz w:val="21"/>
          <w:szCs w:val="21"/>
        </w:rPr>
        <w:fldChar w:fldCharType="end"/>
      </w:r>
      <w:r>
        <w:rPr>
          <w:rFonts w:ascii="黑体" w:hAnsi="黑体" w:eastAsia="黑体" w:cs="黑体"/>
          <w:sz w:val="21"/>
          <w:szCs w:val="21"/>
        </w:rPr>
        <w:t>-</w:t>
      </w:r>
      <w:r>
        <w:rPr>
          <w:rFonts w:ascii="黑体" w:hAnsi="黑体" w:eastAsia="黑体" w:cs="黑体"/>
          <w:sz w:val="21"/>
          <w:szCs w:val="21"/>
        </w:rPr>
        <w:fldChar w:fldCharType="begin"/>
      </w:r>
      <w:r>
        <w:rPr>
          <w:rFonts w:ascii="黑体" w:hAnsi="黑体" w:eastAsia="黑体" w:cs="黑体"/>
          <w:sz w:val="21"/>
          <w:szCs w:val="21"/>
        </w:rPr>
        <w:instrText xml:space="preserve"> </w:instrText>
      </w:r>
      <w:r>
        <w:rPr>
          <w:rFonts w:hint="eastAsia" w:ascii="黑体" w:hAnsi="黑体" w:eastAsia="黑体" w:cs="黑体"/>
          <w:sz w:val="21"/>
          <w:szCs w:val="21"/>
        </w:rPr>
        <w:instrText xml:space="preserve">SEQ 表 \* ARABIC \s 1</w:instrText>
      </w:r>
      <w:r>
        <w:rPr>
          <w:rFonts w:ascii="黑体" w:hAnsi="黑体" w:eastAsia="黑体" w:cs="黑体"/>
          <w:sz w:val="21"/>
          <w:szCs w:val="21"/>
        </w:rPr>
        <w:instrText xml:space="preserve"> </w:instrText>
      </w:r>
      <w:r>
        <w:rPr>
          <w:rFonts w:ascii="黑体" w:hAnsi="黑体" w:eastAsia="黑体" w:cs="黑体"/>
          <w:sz w:val="21"/>
          <w:szCs w:val="21"/>
        </w:rPr>
        <w:fldChar w:fldCharType="separate"/>
      </w:r>
      <w:r>
        <w:rPr>
          <w:rFonts w:ascii="黑体" w:hAnsi="黑体" w:eastAsia="黑体" w:cs="黑体"/>
          <w:sz w:val="21"/>
          <w:szCs w:val="21"/>
        </w:rPr>
        <w:t>3</w:t>
      </w:r>
      <w:r>
        <w:rPr>
          <w:rFonts w:ascii="黑体" w:hAnsi="黑体" w:eastAsia="黑体" w:cs="黑体"/>
          <w:sz w:val="21"/>
          <w:szCs w:val="21"/>
        </w:rPr>
        <w:fldChar w:fldCharType="end"/>
      </w:r>
      <w:r>
        <w:rPr>
          <w:rFonts w:cs="Times New Roman"/>
          <w:sz w:val="21"/>
          <w:szCs w:val="21"/>
        </w:rPr>
        <w:t xml:space="preserve"> </w:t>
      </w:r>
    </w:p>
    <w:tbl>
      <w:tblPr>
        <w:tblStyle w:val="33"/>
        <w:tblW w:w="8790"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860"/>
        <w:gridCol w:w="732"/>
        <w:gridCol w:w="1276"/>
        <w:gridCol w:w="709"/>
        <w:gridCol w:w="708"/>
        <w:gridCol w:w="2410"/>
        <w:gridCol w:w="709"/>
        <w:gridCol w:w="6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700" w:type="dxa"/>
            <w:vMerge w:val="restart"/>
            <w:vAlign w:val="center"/>
          </w:tcPr>
          <w:p>
            <w:pPr>
              <w:pStyle w:val="44"/>
              <w:rPr>
                <w:rFonts w:eastAsia="仿宋" w:cs="Times New Roman"/>
                <w:szCs w:val="21"/>
              </w:rPr>
            </w:pPr>
            <w:r>
              <w:rPr>
                <w:rFonts w:hint="eastAsia" w:eastAsia="仿宋" w:cs="Times New Roman"/>
                <w:szCs w:val="21"/>
              </w:rPr>
              <w:t>序号</w:t>
            </w:r>
          </w:p>
        </w:tc>
        <w:tc>
          <w:tcPr>
            <w:tcW w:w="2868" w:type="dxa"/>
            <w:gridSpan w:val="3"/>
            <w:vMerge w:val="restart"/>
            <w:vAlign w:val="center"/>
          </w:tcPr>
          <w:p>
            <w:pPr>
              <w:pStyle w:val="44"/>
              <w:rPr>
                <w:rFonts w:eastAsia="仿宋" w:cs="Times New Roman"/>
                <w:szCs w:val="21"/>
              </w:rPr>
            </w:pPr>
            <w:r>
              <w:rPr>
                <w:rFonts w:hint="eastAsia" w:eastAsia="仿宋" w:cs="Times New Roman"/>
                <w:szCs w:val="21"/>
              </w:rPr>
              <w:t>建设内容</w:t>
            </w:r>
          </w:p>
        </w:tc>
        <w:tc>
          <w:tcPr>
            <w:tcW w:w="1417" w:type="dxa"/>
            <w:gridSpan w:val="2"/>
            <w:vAlign w:val="center"/>
          </w:tcPr>
          <w:p>
            <w:pPr>
              <w:pStyle w:val="44"/>
              <w:rPr>
                <w:rFonts w:eastAsia="仿宋" w:cs="Times New Roman"/>
                <w:szCs w:val="21"/>
              </w:rPr>
            </w:pPr>
            <w:r>
              <w:rPr>
                <w:rFonts w:hint="eastAsia" w:eastAsia="仿宋" w:cs="Times New Roman"/>
                <w:szCs w:val="21"/>
              </w:rPr>
              <w:t>建设规模</w:t>
            </w:r>
          </w:p>
        </w:tc>
        <w:tc>
          <w:tcPr>
            <w:tcW w:w="2410" w:type="dxa"/>
            <w:vMerge w:val="restart"/>
            <w:vAlign w:val="center"/>
          </w:tcPr>
          <w:p>
            <w:pPr>
              <w:pStyle w:val="44"/>
              <w:rPr>
                <w:rFonts w:eastAsia="仿宋" w:cs="Times New Roman"/>
                <w:szCs w:val="21"/>
              </w:rPr>
            </w:pPr>
            <w:r>
              <w:rPr>
                <w:rFonts w:hint="eastAsia" w:eastAsia="仿宋" w:cs="Times New Roman"/>
                <w:szCs w:val="21"/>
              </w:rPr>
              <w:t>建设地点</w:t>
            </w:r>
          </w:p>
        </w:tc>
        <w:tc>
          <w:tcPr>
            <w:tcW w:w="1395" w:type="dxa"/>
            <w:gridSpan w:val="2"/>
            <w:vAlign w:val="center"/>
          </w:tcPr>
          <w:p>
            <w:pPr>
              <w:pStyle w:val="44"/>
              <w:rPr>
                <w:rFonts w:eastAsia="仿宋" w:cs="Times New Roman"/>
                <w:szCs w:val="21"/>
              </w:rPr>
            </w:pPr>
            <w:r>
              <w:rPr>
                <w:rFonts w:hint="eastAsia" w:eastAsia="仿宋" w:cs="Times New Roman"/>
                <w:szCs w:val="21"/>
              </w:rPr>
              <w:t>建设期限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700" w:type="dxa"/>
            <w:vMerge w:val="continue"/>
            <w:vAlign w:val="center"/>
          </w:tcPr>
          <w:p>
            <w:pPr>
              <w:pStyle w:val="44"/>
              <w:rPr>
                <w:rFonts w:eastAsia="仿宋" w:cs="Times New Roman"/>
                <w:szCs w:val="21"/>
              </w:rPr>
            </w:pPr>
          </w:p>
        </w:tc>
        <w:tc>
          <w:tcPr>
            <w:tcW w:w="2868" w:type="dxa"/>
            <w:gridSpan w:val="3"/>
            <w:vMerge w:val="continue"/>
            <w:vAlign w:val="center"/>
          </w:tcPr>
          <w:p>
            <w:pPr>
              <w:pStyle w:val="44"/>
              <w:rPr>
                <w:rFonts w:eastAsia="仿宋" w:cs="Times New Roman"/>
                <w:szCs w:val="21"/>
              </w:rPr>
            </w:pPr>
          </w:p>
        </w:tc>
        <w:tc>
          <w:tcPr>
            <w:tcW w:w="709" w:type="dxa"/>
            <w:vAlign w:val="center"/>
          </w:tcPr>
          <w:p>
            <w:pPr>
              <w:pStyle w:val="44"/>
              <w:rPr>
                <w:rFonts w:eastAsia="仿宋" w:cs="Times New Roman"/>
                <w:szCs w:val="21"/>
              </w:rPr>
            </w:pPr>
            <w:r>
              <w:rPr>
                <w:rFonts w:hint="eastAsia" w:eastAsia="仿宋" w:cs="Times New Roman"/>
                <w:szCs w:val="21"/>
              </w:rPr>
              <w:t>单位</w:t>
            </w:r>
          </w:p>
        </w:tc>
        <w:tc>
          <w:tcPr>
            <w:tcW w:w="708" w:type="dxa"/>
            <w:vAlign w:val="center"/>
          </w:tcPr>
          <w:p>
            <w:pPr>
              <w:pStyle w:val="44"/>
              <w:rPr>
                <w:rFonts w:eastAsia="仿宋" w:cs="Times New Roman"/>
                <w:szCs w:val="21"/>
              </w:rPr>
            </w:pPr>
            <w:r>
              <w:rPr>
                <w:rFonts w:hint="eastAsia" w:eastAsia="仿宋" w:cs="Times New Roman"/>
                <w:szCs w:val="21"/>
              </w:rPr>
              <w:t>数量</w:t>
            </w:r>
          </w:p>
        </w:tc>
        <w:tc>
          <w:tcPr>
            <w:tcW w:w="2410" w:type="dxa"/>
            <w:vMerge w:val="continue"/>
            <w:vAlign w:val="center"/>
          </w:tcPr>
          <w:p>
            <w:pPr>
              <w:pStyle w:val="44"/>
              <w:rPr>
                <w:rFonts w:eastAsia="仿宋" w:cs="Times New Roman"/>
                <w:szCs w:val="21"/>
              </w:rPr>
            </w:pPr>
          </w:p>
        </w:tc>
        <w:tc>
          <w:tcPr>
            <w:tcW w:w="709" w:type="dxa"/>
            <w:vAlign w:val="center"/>
          </w:tcPr>
          <w:p>
            <w:pPr>
              <w:pStyle w:val="44"/>
              <w:rPr>
                <w:rFonts w:eastAsia="仿宋" w:cs="Times New Roman"/>
                <w:szCs w:val="21"/>
              </w:rPr>
            </w:pPr>
            <w:r>
              <w:rPr>
                <w:rFonts w:hint="eastAsia" w:eastAsia="仿宋" w:cs="Times New Roman"/>
                <w:szCs w:val="21"/>
              </w:rPr>
              <w:t>前期</w:t>
            </w:r>
          </w:p>
        </w:tc>
        <w:tc>
          <w:tcPr>
            <w:tcW w:w="686" w:type="dxa"/>
            <w:vAlign w:val="center"/>
          </w:tcPr>
          <w:p>
            <w:pPr>
              <w:pStyle w:val="44"/>
              <w:rPr>
                <w:rFonts w:eastAsia="仿宋" w:cs="Times New Roman"/>
                <w:szCs w:val="21"/>
              </w:rPr>
            </w:pPr>
            <w:r>
              <w:rPr>
                <w:rFonts w:hint="eastAsia" w:eastAsia="仿宋" w:cs="Times New Roman"/>
                <w:szCs w:val="21"/>
              </w:rPr>
              <w:t>后期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0" w:type="dxa"/>
            <w:vMerge w:val="restart"/>
            <w:vAlign w:val="center"/>
          </w:tcPr>
          <w:p>
            <w:pPr>
              <w:pStyle w:val="45"/>
              <w:rPr>
                <w:rFonts w:eastAsia="仿宋" w:cs="Times New Roman"/>
                <w:sz w:val="21"/>
                <w:szCs w:val="21"/>
              </w:rPr>
            </w:pPr>
            <w:r>
              <w:rPr>
                <w:rFonts w:eastAsia="仿宋" w:cs="Times New Roman"/>
                <w:sz w:val="21"/>
                <w:szCs w:val="21"/>
              </w:rPr>
              <w:t>1</w:t>
            </w:r>
          </w:p>
        </w:tc>
        <w:tc>
          <w:tcPr>
            <w:tcW w:w="860" w:type="dxa"/>
            <w:vMerge w:val="restart"/>
            <w:vAlign w:val="center"/>
          </w:tcPr>
          <w:p>
            <w:pPr>
              <w:pStyle w:val="45"/>
              <w:rPr>
                <w:rFonts w:eastAsia="仿宋" w:cs="Times New Roman"/>
                <w:sz w:val="21"/>
                <w:szCs w:val="21"/>
              </w:rPr>
            </w:pPr>
            <w:r>
              <w:rPr>
                <w:rFonts w:hint="eastAsia" w:eastAsia="仿宋" w:cs="Times New Roman"/>
                <w:sz w:val="21"/>
                <w:szCs w:val="21"/>
              </w:rPr>
              <w:t>游憩项目规划</w:t>
            </w:r>
          </w:p>
        </w:tc>
        <w:tc>
          <w:tcPr>
            <w:tcW w:w="2008" w:type="dxa"/>
            <w:gridSpan w:val="2"/>
            <w:vAlign w:val="center"/>
          </w:tcPr>
          <w:p>
            <w:pPr>
              <w:pStyle w:val="45"/>
              <w:rPr>
                <w:rFonts w:eastAsia="仿宋" w:cs="Times New Roman"/>
                <w:sz w:val="21"/>
                <w:szCs w:val="21"/>
              </w:rPr>
            </w:pPr>
            <w:r>
              <w:rPr>
                <w:rFonts w:hint="eastAsia" w:eastAsia="仿宋" w:cs="Times New Roman"/>
                <w:sz w:val="21"/>
                <w:szCs w:val="21"/>
              </w:rPr>
              <w:t>观鸟屋</w:t>
            </w:r>
          </w:p>
        </w:tc>
        <w:tc>
          <w:tcPr>
            <w:tcW w:w="709" w:type="dxa"/>
            <w:vAlign w:val="center"/>
          </w:tcPr>
          <w:p>
            <w:pPr>
              <w:pStyle w:val="45"/>
              <w:rPr>
                <w:rFonts w:eastAsia="仿宋" w:cs="Times New Roman"/>
                <w:sz w:val="21"/>
                <w:szCs w:val="21"/>
              </w:rPr>
            </w:pPr>
            <w:r>
              <w:rPr>
                <w:rFonts w:hint="eastAsia" w:eastAsia="仿宋" w:cs="Times New Roman"/>
                <w:sz w:val="21"/>
                <w:szCs w:val="21"/>
              </w:rPr>
              <w:t>座</w:t>
            </w:r>
          </w:p>
        </w:tc>
        <w:tc>
          <w:tcPr>
            <w:tcW w:w="708" w:type="dxa"/>
            <w:vAlign w:val="center"/>
          </w:tcPr>
          <w:p>
            <w:pPr>
              <w:pStyle w:val="45"/>
              <w:rPr>
                <w:rFonts w:eastAsia="仿宋" w:cs="Times New Roman"/>
                <w:sz w:val="21"/>
                <w:szCs w:val="21"/>
              </w:rPr>
            </w:pPr>
            <w:r>
              <w:rPr>
                <w:rFonts w:hint="eastAsia" w:eastAsia="仿宋" w:cs="Times New Roman"/>
                <w:sz w:val="21"/>
                <w:szCs w:val="21"/>
              </w:rPr>
              <w:t>10</w:t>
            </w:r>
          </w:p>
        </w:tc>
        <w:tc>
          <w:tcPr>
            <w:tcW w:w="2410" w:type="dxa"/>
            <w:vAlign w:val="center"/>
          </w:tcPr>
          <w:p>
            <w:pPr>
              <w:pStyle w:val="45"/>
              <w:rPr>
                <w:rFonts w:eastAsia="仿宋" w:cs="Times New Roman"/>
                <w:sz w:val="21"/>
                <w:szCs w:val="21"/>
              </w:rPr>
            </w:pPr>
            <w:r>
              <w:rPr>
                <w:rFonts w:hint="eastAsia" w:eastAsia="仿宋" w:cs="Times New Roman"/>
                <w:sz w:val="21"/>
                <w:szCs w:val="21"/>
                <w:lang w:bidi="ar"/>
              </w:rPr>
              <w:t>马鞍岛、月光岛、晒谷堡</w:t>
            </w:r>
            <w:r>
              <w:rPr>
                <w:rFonts w:hint="eastAsia" w:eastAsia="仿宋" w:cs="Times New Roman"/>
                <w:sz w:val="21"/>
                <w:szCs w:val="21"/>
              </w:rPr>
              <w:t>等</w:t>
            </w:r>
          </w:p>
        </w:tc>
        <w:tc>
          <w:tcPr>
            <w:tcW w:w="709" w:type="dxa"/>
            <w:vAlign w:val="center"/>
          </w:tcPr>
          <w:p>
            <w:pPr>
              <w:pStyle w:val="45"/>
              <w:rPr>
                <w:rFonts w:eastAsia="仿宋" w:cs="Times New Roman"/>
                <w:sz w:val="21"/>
                <w:szCs w:val="21"/>
              </w:rPr>
            </w:pPr>
          </w:p>
        </w:tc>
        <w:tc>
          <w:tcPr>
            <w:tcW w:w="686"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0" w:type="dxa"/>
            <w:vMerge w:val="continue"/>
            <w:vAlign w:val="center"/>
          </w:tcPr>
          <w:p>
            <w:pPr>
              <w:pStyle w:val="45"/>
              <w:rPr>
                <w:rFonts w:eastAsia="仿宋" w:cs="Times New Roman"/>
                <w:sz w:val="21"/>
                <w:szCs w:val="21"/>
              </w:rPr>
            </w:pPr>
          </w:p>
        </w:tc>
        <w:tc>
          <w:tcPr>
            <w:tcW w:w="860" w:type="dxa"/>
            <w:vMerge w:val="continue"/>
            <w:vAlign w:val="center"/>
          </w:tcPr>
          <w:p>
            <w:pPr>
              <w:pStyle w:val="45"/>
              <w:rPr>
                <w:rFonts w:eastAsia="仿宋" w:cs="Times New Roman"/>
                <w:sz w:val="21"/>
                <w:szCs w:val="21"/>
              </w:rPr>
            </w:pPr>
          </w:p>
        </w:tc>
        <w:tc>
          <w:tcPr>
            <w:tcW w:w="2008" w:type="dxa"/>
            <w:gridSpan w:val="2"/>
            <w:vAlign w:val="center"/>
          </w:tcPr>
          <w:p>
            <w:pPr>
              <w:pStyle w:val="45"/>
              <w:rPr>
                <w:rFonts w:eastAsia="仿宋" w:cs="Times New Roman"/>
                <w:sz w:val="21"/>
                <w:szCs w:val="21"/>
              </w:rPr>
            </w:pPr>
            <w:r>
              <w:rPr>
                <w:rFonts w:hint="eastAsia" w:eastAsia="仿宋" w:cs="Times New Roman"/>
                <w:sz w:val="21"/>
                <w:szCs w:val="21"/>
              </w:rPr>
              <w:t>观鸟塔</w:t>
            </w:r>
          </w:p>
        </w:tc>
        <w:tc>
          <w:tcPr>
            <w:tcW w:w="709" w:type="dxa"/>
            <w:vAlign w:val="center"/>
          </w:tcPr>
          <w:p>
            <w:pPr>
              <w:pStyle w:val="45"/>
              <w:rPr>
                <w:rFonts w:eastAsia="仿宋" w:cs="Times New Roman"/>
                <w:sz w:val="21"/>
                <w:szCs w:val="21"/>
              </w:rPr>
            </w:pPr>
            <w:r>
              <w:rPr>
                <w:rFonts w:hint="eastAsia" w:eastAsia="仿宋" w:cs="Times New Roman"/>
                <w:sz w:val="21"/>
                <w:szCs w:val="21"/>
              </w:rPr>
              <w:t>座</w:t>
            </w:r>
          </w:p>
        </w:tc>
        <w:tc>
          <w:tcPr>
            <w:tcW w:w="708" w:type="dxa"/>
            <w:vAlign w:val="center"/>
          </w:tcPr>
          <w:p>
            <w:pPr>
              <w:pStyle w:val="45"/>
              <w:rPr>
                <w:rFonts w:eastAsia="仿宋" w:cs="Times New Roman"/>
                <w:sz w:val="21"/>
                <w:szCs w:val="21"/>
              </w:rPr>
            </w:pPr>
            <w:r>
              <w:rPr>
                <w:rFonts w:hint="eastAsia" w:eastAsia="仿宋" w:cs="Times New Roman"/>
                <w:sz w:val="21"/>
                <w:szCs w:val="21"/>
              </w:rPr>
              <w:t>2</w:t>
            </w:r>
            <w:r>
              <w:rPr>
                <w:rFonts w:eastAsia="仿宋" w:cs="Times New Roman"/>
                <w:sz w:val="21"/>
                <w:szCs w:val="21"/>
              </w:rPr>
              <w:t>0</w:t>
            </w:r>
          </w:p>
        </w:tc>
        <w:tc>
          <w:tcPr>
            <w:tcW w:w="2410" w:type="dxa"/>
            <w:vAlign w:val="center"/>
          </w:tcPr>
          <w:p>
            <w:pPr>
              <w:pStyle w:val="45"/>
              <w:rPr>
                <w:rFonts w:eastAsia="仿宋" w:cs="Times New Roman"/>
                <w:sz w:val="21"/>
                <w:szCs w:val="21"/>
              </w:rPr>
            </w:pPr>
            <w:r>
              <w:rPr>
                <w:rFonts w:hint="eastAsia" w:eastAsia="仿宋" w:cs="Times New Roman"/>
                <w:sz w:val="21"/>
                <w:szCs w:val="21"/>
                <w:lang w:bidi="ar"/>
              </w:rPr>
              <w:t>马鞍岛、月光岛、晒谷堡</w:t>
            </w:r>
            <w:r>
              <w:rPr>
                <w:rFonts w:hint="eastAsia" w:eastAsia="仿宋" w:cs="Times New Roman"/>
                <w:sz w:val="21"/>
                <w:szCs w:val="21"/>
              </w:rPr>
              <w:t>等</w:t>
            </w:r>
          </w:p>
        </w:tc>
        <w:tc>
          <w:tcPr>
            <w:tcW w:w="709" w:type="dxa"/>
            <w:vAlign w:val="center"/>
          </w:tcPr>
          <w:p>
            <w:pPr>
              <w:pStyle w:val="45"/>
              <w:rPr>
                <w:rFonts w:eastAsia="仿宋" w:cs="Times New Roman"/>
                <w:sz w:val="21"/>
                <w:szCs w:val="21"/>
              </w:rPr>
            </w:pPr>
          </w:p>
        </w:tc>
        <w:tc>
          <w:tcPr>
            <w:tcW w:w="686"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0" w:type="dxa"/>
            <w:vMerge w:val="continue"/>
            <w:vAlign w:val="center"/>
          </w:tcPr>
          <w:p>
            <w:pPr>
              <w:pStyle w:val="45"/>
              <w:rPr>
                <w:rFonts w:eastAsia="仿宋" w:cs="Times New Roman"/>
                <w:sz w:val="21"/>
                <w:szCs w:val="21"/>
              </w:rPr>
            </w:pPr>
          </w:p>
        </w:tc>
        <w:tc>
          <w:tcPr>
            <w:tcW w:w="860" w:type="dxa"/>
            <w:vMerge w:val="continue"/>
            <w:vAlign w:val="center"/>
          </w:tcPr>
          <w:p>
            <w:pPr>
              <w:pStyle w:val="45"/>
              <w:rPr>
                <w:rFonts w:eastAsia="仿宋" w:cs="Times New Roman"/>
                <w:sz w:val="21"/>
                <w:szCs w:val="21"/>
              </w:rPr>
            </w:pPr>
          </w:p>
        </w:tc>
        <w:tc>
          <w:tcPr>
            <w:tcW w:w="2008" w:type="dxa"/>
            <w:gridSpan w:val="2"/>
            <w:vAlign w:val="center"/>
          </w:tcPr>
          <w:p>
            <w:pPr>
              <w:pStyle w:val="45"/>
              <w:rPr>
                <w:rFonts w:eastAsia="仿宋" w:cs="Times New Roman"/>
                <w:sz w:val="21"/>
                <w:szCs w:val="21"/>
              </w:rPr>
            </w:pPr>
            <w:r>
              <w:rPr>
                <w:rFonts w:hint="eastAsia" w:eastAsia="仿宋" w:cs="Times New Roman"/>
                <w:sz w:val="21"/>
                <w:szCs w:val="21"/>
              </w:rPr>
              <w:t>国防教育拓展基地</w:t>
            </w:r>
          </w:p>
        </w:tc>
        <w:tc>
          <w:tcPr>
            <w:tcW w:w="709" w:type="dxa"/>
            <w:vAlign w:val="center"/>
          </w:tcPr>
          <w:p>
            <w:pPr>
              <w:pStyle w:val="45"/>
              <w:rPr>
                <w:rFonts w:eastAsia="仿宋" w:cs="Times New Roman"/>
                <w:sz w:val="21"/>
                <w:szCs w:val="21"/>
              </w:rPr>
            </w:pPr>
            <w:r>
              <w:rPr>
                <w:rFonts w:hint="eastAsia" w:eastAsia="仿宋" w:cs="Times New Roman"/>
                <w:sz w:val="21"/>
                <w:szCs w:val="21"/>
              </w:rPr>
              <w:t>处</w:t>
            </w:r>
          </w:p>
        </w:tc>
        <w:tc>
          <w:tcPr>
            <w:tcW w:w="708" w:type="dxa"/>
            <w:vAlign w:val="center"/>
          </w:tcPr>
          <w:p>
            <w:pPr>
              <w:pStyle w:val="45"/>
              <w:rPr>
                <w:rFonts w:eastAsia="仿宋" w:cs="Times New Roman"/>
                <w:sz w:val="21"/>
                <w:szCs w:val="21"/>
              </w:rPr>
            </w:pPr>
            <w:r>
              <w:rPr>
                <w:rFonts w:hint="eastAsia" w:eastAsia="仿宋" w:cs="Times New Roman"/>
                <w:sz w:val="21"/>
                <w:szCs w:val="21"/>
              </w:rPr>
              <w:t>1</w:t>
            </w:r>
          </w:p>
        </w:tc>
        <w:tc>
          <w:tcPr>
            <w:tcW w:w="2410" w:type="dxa"/>
            <w:vAlign w:val="center"/>
          </w:tcPr>
          <w:p>
            <w:pPr>
              <w:pStyle w:val="45"/>
              <w:rPr>
                <w:rFonts w:eastAsia="仿宋" w:cs="Times New Roman"/>
                <w:sz w:val="21"/>
                <w:szCs w:val="21"/>
              </w:rPr>
            </w:pPr>
            <w:r>
              <w:rPr>
                <w:rFonts w:hint="eastAsia" w:eastAsia="仿宋" w:cs="Times New Roman"/>
                <w:sz w:val="21"/>
                <w:szCs w:val="21"/>
              </w:rPr>
              <w:t>月光岛</w:t>
            </w:r>
          </w:p>
        </w:tc>
        <w:tc>
          <w:tcPr>
            <w:tcW w:w="709" w:type="dxa"/>
            <w:vAlign w:val="center"/>
          </w:tcPr>
          <w:p>
            <w:pPr>
              <w:pStyle w:val="45"/>
              <w:rPr>
                <w:rFonts w:eastAsia="仿宋" w:cs="Times New Roman"/>
                <w:sz w:val="21"/>
                <w:szCs w:val="21"/>
              </w:rPr>
            </w:pPr>
          </w:p>
        </w:tc>
        <w:tc>
          <w:tcPr>
            <w:tcW w:w="686"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0" w:type="dxa"/>
            <w:vMerge w:val="continue"/>
            <w:vAlign w:val="center"/>
          </w:tcPr>
          <w:p>
            <w:pPr>
              <w:pStyle w:val="45"/>
              <w:rPr>
                <w:rFonts w:eastAsia="仿宋" w:cs="Times New Roman"/>
                <w:sz w:val="21"/>
                <w:szCs w:val="21"/>
              </w:rPr>
            </w:pPr>
          </w:p>
        </w:tc>
        <w:tc>
          <w:tcPr>
            <w:tcW w:w="860" w:type="dxa"/>
            <w:vMerge w:val="continue"/>
            <w:vAlign w:val="center"/>
          </w:tcPr>
          <w:p>
            <w:pPr>
              <w:pStyle w:val="45"/>
              <w:rPr>
                <w:rFonts w:eastAsia="仿宋" w:cs="Times New Roman"/>
                <w:sz w:val="21"/>
                <w:szCs w:val="21"/>
              </w:rPr>
            </w:pPr>
          </w:p>
        </w:tc>
        <w:tc>
          <w:tcPr>
            <w:tcW w:w="2008" w:type="dxa"/>
            <w:gridSpan w:val="2"/>
            <w:vAlign w:val="center"/>
          </w:tcPr>
          <w:p>
            <w:pPr>
              <w:pStyle w:val="45"/>
              <w:rPr>
                <w:rFonts w:eastAsia="仿宋" w:cs="Times New Roman"/>
                <w:sz w:val="21"/>
                <w:szCs w:val="21"/>
              </w:rPr>
            </w:pPr>
            <w:r>
              <w:rPr>
                <w:rFonts w:hint="eastAsia" w:eastAsia="仿宋" w:cs="Times New Roman"/>
                <w:sz w:val="21"/>
                <w:szCs w:val="21"/>
              </w:rPr>
              <w:t>康养休闲基地</w:t>
            </w:r>
          </w:p>
        </w:tc>
        <w:tc>
          <w:tcPr>
            <w:tcW w:w="709" w:type="dxa"/>
            <w:vAlign w:val="center"/>
          </w:tcPr>
          <w:p>
            <w:pPr>
              <w:pStyle w:val="45"/>
              <w:rPr>
                <w:rFonts w:eastAsia="仿宋" w:cs="Times New Roman"/>
                <w:sz w:val="21"/>
                <w:szCs w:val="21"/>
              </w:rPr>
            </w:pPr>
            <w:r>
              <w:rPr>
                <w:rFonts w:hint="eastAsia" w:eastAsia="仿宋" w:cs="Times New Roman"/>
                <w:sz w:val="21"/>
                <w:szCs w:val="21"/>
              </w:rPr>
              <w:t>处</w:t>
            </w:r>
          </w:p>
        </w:tc>
        <w:tc>
          <w:tcPr>
            <w:tcW w:w="708" w:type="dxa"/>
            <w:vAlign w:val="center"/>
          </w:tcPr>
          <w:p>
            <w:pPr>
              <w:pStyle w:val="45"/>
              <w:rPr>
                <w:rFonts w:eastAsia="仿宋" w:cs="Times New Roman"/>
                <w:sz w:val="21"/>
                <w:szCs w:val="21"/>
              </w:rPr>
            </w:pPr>
            <w:r>
              <w:rPr>
                <w:rFonts w:hint="eastAsia" w:eastAsia="仿宋" w:cs="Times New Roman"/>
                <w:sz w:val="21"/>
                <w:szCs w:val="21"/>
              </w:rPr>
              <w:t>1</w:t>
            </w:r>
          </w:p>
        </w:tc>
        <w:tc>
          <w:tcPr>
            <w:tcW w:w="2410" w:type="dxa"/>
            <w:vAlign w:val="center"/>
          </w:tcPr>
          <w:p>
            <w:pPr>
              <w:pStyle w:val="45"/>
              <w:rPr>
                <w:rFonts w:eastAsia="仿宋" w:cs="Times New Roman"/>
                <w:sz w:val="21"/>
                <w:szCs w:val="21"/>
              </w:rPr>
            </w:pPr>
            <w:r>
              <w:rPr>
                <w:rFonts w:hint="eastAsia" w:eastAsia="仿宋" w:cs="Times New Roman"/>
                <w:sz w:val="21"/>
                <w:szCs w:val="21"/>
              </w:rPr>
              <w:t>晒谷堡</w:t>
            </w:r>
          </w:p>
        </w:tc>
        <w:tc>
          <w:tcPr>
            <w:tcW w:w="709" w:type="dxa"/>
            <w:vAlign w:val="center"/>
          </w:tcPr>
          <w:p>
            <w:pPr>
              <w:pStyle w:val="45"/>
              <w:rPr>
                <w:rFonts w:eastAsia="仿宋" w:cs="Times New Roman"/>
                <w:sz w:val="21"/>
                <w:szCs w:val="21"/>
              </w:rPr>
            </w:pPr>
          </w:p>
        </w:tc>
        <w:tc>
          <w:tcPr>
            <w:tcW w:w="686"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0" w:type="dxa"/>
            <w:vMerge w:val="continue"/>
            <w:vAlign w:val="center"/>
          </w:tcPr>
          <w:p>
            <w:pPr>
              <w:pStyle w:val="45"/>
              <w:rPr>
                <w:rFonts w:eastAsia="仿宋" w:cs="Times New Roman"/>
                <w:sz w:val="21"/>
                <w:szCs w:val="21"/>
              </w:rPr>
            </w:pPr>
          </w:p>
        </w:tc>
        <w:tc>
          <w:tcPr>
            <w:tcW w:w="860" w:type="dxa"/>
            <w:vMerge w:val="continue"/>
            <w:vAlign w:val="center"/>
          </w:tcPr>
          <w:p>
            <w:pPr>
              <w:pStyle w:val="45"/>
              <w:rPr>
                <w:rFonts w:eastAsia="仿宋" w:cs="Times New Roman"/>
                <w:sz w:val="21"/>
                <w:szCs w:val="21"/>
              </w:rPr>
            </w:pPr>
          </w:p>
        </w:tc>
        <w:tc>
          <w:tcPr>
            <w:tcW w:w="2008" w:type="dxa"/>
            <w:gridSpan w:val="2"/>
            <w:vAlign w:val="center"/>
          </w:tcPr>
          <w:p>
            <w:pPr>
              <w:pStyle w:val="45"/>
              <w:rPr>
                <w:rFonts w:eastAsia="仿宋" w:cs="Times New Roman"/>
                <w:sz w:val="21"/>
                <w:szCs w:val="21"/>
              </w:rPr>
            </w:pPr>
            <w:r>
              <w:rPr>
                <w:rFonts w:hint="eastAsia" w:eastAsia="仿宋" w:cs="Times New Roman"/>
                <w:sz w:val="21"/>
                <w:szCs w:val="21"/>
              </w:rPr>
              <w:t>鱼文化园</w:t>
            </w:r>
          </w:p>
        </w:tc>
        <w:tc>
          <w:tcPr>
            <w:tcW w:w="709" w:type="dxa"/>
            <w:vAlign w:val="center"/>
          </w:tcPr>
          <w:p>
            <w:pPr>
              <w:pStyle w:val="45"/>
              <w:rPr>
                <w:rFonts w:eastAsia="仿宋" w:cs="Times New Roman"/>
                <w:sz w:val="21"/>
                <w:szCs w:val="21"/>
              </w:rPr>
            </w:pPr>
            <w:r>
              <w:rPr>
                <w:rFonts w:hint="eastAsia" w:eastAsia="仿宋" w:cs="Times New Roman"/>
                <w:sz w:val="21"/>
                <w:szCs w:val="21"/>
              </w:rPr>
              <w:t>处</w:t>
            </w:r>
          </w:p>
        </w:tc>
        <w:tc>
          <w:tcPr>
            <w:tcW w:w="708" w:type="dxa"/>
            <w:vAlign w:val="center"/>
          </w:tcPr>
          <w:p>
            <w:pPr>
              <w:pStyle w:val="45"/>
              <w:rPr>
                <w:rFonts w:eastAsia="仿宋" w:cs="Times New Roman"/>
                <w:sz w:val="21"/>
                <w:szCs w:val="21"/>
              </w:rPr>
            </w:pPr>
            <w:r>
              <w:rPr>
                <w:rFonts w:hint="eastAsia" w:eastAsia="仿宋" w:cs="Times New Roman"/>
                <w:sz w:val="21"/>
                <w:szCs w:val="21"/>
              </w:rPr>
              <w:t>1</w:t>
            </w:r>
          </w:p>
        </w:tc>
        <w:tc>
          <w:tcPr>
            <w:tcW w:w="2410" w:type="dxa"/>
            <w:vAlign w:val="center"/>
          </w:tcPr>
          <w:p>
            <w:pPr>
              <w:pStyle w:val="45"/>
              <w:rPr>
                <w:rFonts w:eastAsia="仿宋" w:cs="Times New Roman"/>
                <w:sz w:val="21"/>
                <w:szCs w:val="21"/>
              </w:rPr>
            </w:pPr>
            <w:r>
              <w:rPr>
                <w:rFonts w:hint="eastAsia" w:eastAsia="仿宋" w:cs="Times New Roman"/>
                <w:sz w:val="21"/>
                <w:szCs w:val="21"/>
              </w:rPr>
              <w:t>晒谷堡</w:t>
            </w:r>
          </w:p>
        </w:tc>
        <w:tc>
          <w:tcPr>
            <w:tcW w:w="709" w:type="dxa"/>
            <w:vAlign w:val="center"/>
          </w:tcPr>
          <w:p>
            <w:pPr>
              <w:pStyle w:val="45"/>
              <w:rPr>
                <w:rFonts w:eastAsia="仿宋" w:cs="Times New Roman"/>
                <w:sz w:val="21"/>
                <w:szCs w:val="21"/>
              </w:rPr>
            </w:pPr>
          </w:p>
        </w:tc>
        <w:tc>
          <w:tcPr>
            <w:tcW w:w="686"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0" w:type="dxa"/>
            <w:vMerge w:val="continue"/>
            <w:vAlign w:val="center"/>
          </w:tcPr>
          <w:p>
            <w:pPr>
              <w:pStyle w:val="45"/>
              <w:rPr>
                <w:rFonts w:eastAsia="仿宋" w:cs="Times New Roman"/>
                <w:sz w:val="21"/>
                <w:szCs w:val="21"/>
              </w:rPr>
            </w:pPr>
          </w:p>
        </w:tc>
        <w:tc>
          <w:tcPr>
            <w:tcW w:w="860" w:type="dxa"/>
            <w:vMerge w:val="continue"/>
            <w:vAlign w:val="center"/>
          </w:tcPr>
          <w:p>
            <w:pPr>
              <w:pStyle w:val="45"/>
              <w:rPr>
                <w:rFonts w:eastAsia="仿宋" w:cs="Times New Roman"/>
                <w:sz w:val="21"/>
                <w:szCs w:val="21"/>
              </w:rPr>
            </w:pPr>
          </w:p>
        </w:tc>
        <w:tc>
          <w:tcPr>
            <w:tcW w:w="2008" w:type="dxa"/>
            <w:gridSpan w:val="2"/>
            <w:vAlign w:val="center"/>
          </w:tcPr>
          <w:p>
            <w:pPr>
              <w:pStyle w:val="45"/>
              <w:rPr>
                <w:rFonts w:eastAsia="仿宋" w:cs="Times New Roman"/>
                <w:sz w:val="21"/>
                <w:szCs w:val="21"/>
              </w:rPr>
            </w:pPr>
            <w:r>
              <w:rPr>
                <w:rFonts w:hint="eastAsia" w:eastAsia="仿宋" w:cs="Times New Roman"/>
                <w:sz w:val="21"/>
                <w:szCs w:val="21"/>
              </w:rPr>
              <w:t>生态钓场</w:t>
            </w:r>
          </w:p>
        </w:tc>
        <w:tc>
          <w:tcPr>
            <w:tcW w:w="709" w:type="dxa"/>
            <w:vAlign w:val="center"/>
          </w:tcPr>
          <w:p>
            <w:pPr>
              <w:pStyle w:val="45"/>
              <w:rPr>
                <w:rFonts w:eastAsia="仿宋" w:cs="Times New Roman"/>
                <w:sz w:val="21"/>
                <w:szCs w:val="21"/>
              </w:rPr>
            </w:pPr>
            <w:r>
              <w:rPr>
                <w:rFonts w:hint="eastAsia" w:eastAsia="仿宋" w:cs="Times New Roman"/>
                <w:sz w:val="21"/>
                <w:szCs w:val="21"/>
              </w:rPr>
              <w:t>处</w:t>
            </w:r>
          </w:p>
        </w:tc>
        <w:tc>
          <w:tcPr>
            <w:tcW w:w="708" w:type="dxa"/>
            <w:vAlign w:val="center"/>
          </w:tcPr>
          <w:p>
            <w:pPr>
              <w:pStyle w:val="45"/>
              <w:rPr>
                <w:rFonts w:eastAsia="仿宋" w:cs="Times New Roman"/>
                <w:sz w:val="21"/>
                <w:szCs w:val="21"/>
              </w:rPr>
            </w:pPr>
            <w:r>
              <w:rPr>
                <w:rFonts w:hint="eastAsia" w:eastAsia="仿宋" w:cs="Times New Roman"/>
                <w:sz w:val="21"/>
                <w:szCs w:val="21"/>
              </w:rPr>
              <w:t>2</w:t>
            </w:r>
            <w:r>
              <w:rPr>
                <w:rFonts w:eastAsia="仿宋" w:cs="Times New Roman"/>
                <w:sz w:val="21"/>
                <w:szCs w:val="21"/>
              </w:rPr>
              <w:t>0</w:t>
            </w:r>
          </w:p>
        </w:tc>
        <w:tc>
          <w:tcPr>
            <w:tcW w:w="2410" w:type="dxa"/>
            <w:vAlign w:val="center"/>
          </w:tcPr>
          <w:p>
            <w:pPr>
              <w:pStyle w:val="45"/>
              <w:rPr>
                <w:rFonts w:eastAsia="仿宋" w:cs="Times New Roman"/>
                <w:sz w:val="21"/>
                <w:szCs w:val="21"/>
              </w:rPr>
            </w:pPr>
            <w:r>
              <w:rPr>
                <w:rFonts w:hint="eastAsia" w:eastAsia="仿宋" w:cs="Times New Roman"/>
                <w:sz w:val="21"/>
                <w:szCs w:val="21"/>
              </w:rPr>
              <w:t>合理利用区</w:t>
            </w:r>
          </w:p>
        </w:tc>
        <w:tc>
          <w:tcPr>
            <w:tcW w:w="709" w:type="dxa"/>
            <w:vAlign w:val="center"/>
          </w:tcPr>
          <w:p>
            <w:pPr>
              <w:pStyle w:val="45"/>
              <w:rPr>
                <w:rFonts w:eastAsia="仿宋" w:cs="Times New Roman"/>
                <w:sz w:val="21"/>
                <w:szCs w:val="21"/>
              </w:rPr>
            </w:pPr>
          </w:p>
        </w:tc>
        <w:tc>
          <w:tcPr>
            <w:tcW w:w="686"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0" w:type="dxa"/>
            <w:vMerge w:val="continue"/>
            <w:vAlign w:val="center"/>
          </w:tcPr>
          <w:p>
            <w:pPr>
              <w:pStyle w:val="45"/>
              <w:rPr>
                <w:rFonts w:eastAsia="仿宋" w:cs="Times New Roman"/>
                <w:sz w:val="21"/>
                <w:szCs w:val="21"/>
              </w:rPr>
            </w:pPr>
          </w:p>
        </w:tc>
        <w:tc>
          <w:tcPr>
            <w:tcW w:w="860" w:type="dxa"/>
            <w:vMerge w:val="continue"/>
            <w:vAlign w:val="center"/>
          </w:tcPr>
          <w:p>
            <w:pPr>
              <w:pStyle w:val="45"/>
              <w:rPr>
                <w:rFonts w:eastAsia="仿宋" w:cs="Times New Roman"/>
                <w:sz w:val="21"/>
                <w:szCs w:val="21"/>
              </w:rPr>
            </w:pPr>
          </w:p>
        </w:tc>
        <w:tc>
          <w:tcPr>
            <w:tcW w:w="2008" w:type="dxa"/>
            <w:gridSpan w:val="2"/>
            <w:vAlign w:val="center"/>
          </w:tcPr>
          <w:p>
            <w:pPr>
              <w:pStyle w:val="45"/>
              <w:rPr>
                <w:rFonts w:eastAsia="仿宋" w:cs="Times New Roman"/>
                <w:sz w:val="21"/>
                <w:szCs w:val="21"/>
              </w:rPr>
            </w:pPr>
            <w:r>
              <w:rPr>
                <w:rFonts w:hint="eastAsia" w:eastAsia="仿宋" w:cs="Times New Roman"/>
                <w:sz w:val="21"/>
                <w:szCs w:val="21"/>
              </w:rPr>
              <w:t>农耕文化园</w:t>
            </w:r>
          </w:p>
        </w:tc>
        <w:tc>
          <w:tcPr>
            <w:tcW w:w="709" w:type="dxa"/>
            <w:vAlign w:val="center"/>
          </w:tcPr>
          <w:p>
            <w:pPr>
              <w:pStyle w:val="45"/>
              <w:rPr>
                <w:rFonts w:eastAsia="仿宋" w:cs="Times New Roman"/>
                <w:sz w:val="21"/>
                <w:szCs w:val="21"/>
              </w:rPr>
            </w:pPr>
            <w:r>
              <w:rPr>
                <w:rFonts w:hint="eastAsia" w:eastAsia="仿宋" w:cs="Times New Roman"/>
                <w:sz w:val="21"/>
                <w:szCs w:val="21"/>
              </w:rPr>
              <w:t>处</w:t>
            </w:r>
          </w:p>
        </w:tc>
        <w:tc>
          <w:tcPr>
            <w:tcW w:w="708" w:type="dxa"/>
            <w:vAlign w:val="center"/>
          </w:tcPr>
          <w:p>
            <w:pPr>
              <w:pStyle w:val="45"/>
              <w:rPr>
                <w:rFonts w:eastAsia="仿宋" w:cs="Times New Roman"/>
                <w:sz w:val="21"/>
                <w:szCs w:val="21"/>
              </w:rPr>
            </w:pPr>
            <w:r>
              <w:rPr>
                <w:rFonts w:eastAsia="仿宋" w:cs="Times New Roman"/>
                <w:sz w:val="21"/>
                <w:szCs w:val="21"/>
              </w:rPr>
              <w:t>3</w:t>
            </w:r>
          </w:p>
        </w:tc>
        <w:tc>
          <w:tcPr>
            <w:tcW w:w="2410" w:type="dxa"/>
            <w:vAlign w:val="center"/>
          </w:tcPr>
          <w:p>
            <w:pPr>
              <w:pStyle w:val="45"/>
              <w:rPr>
                <w:rFonts w:eastAsia="仿宋" w:cs="Times New Roman"/>
                <w:sz w:val="21"/>
                <w:szCs w:val="21"/>
              </w:rPr>
            </w:pPr>
            <w:r>
              <w:rPr>
                <w:rFonts w:hint="eastAsia" w:eastAsia="仿宋" w:cs="Times New Roman"/>
                <w:sz w:val="21"/>
                <w:szCs w:val="21"/>
              </w:rPr>
              <w:t>湿地植物展示园附近</w:t>
            </w:r>
          </w:p>
        </w:tc>
        <w:tc>
          <w:tcPr>
            <w:tcW w:w="709" w:type="dxa"/>
            <w:vAlign w:val="center"/>
          </w:tcPr>
          <w:p>
            <w:pPr>
              <w:pStyle w:val="45"/>
              <w:rPr>
                <w:rFonts w:eastAsia="仿宋" w:cs="Times New Roman"/>
                <w:sz w:val="21"/>
                <w:szCs w:val="21"/>
              </w:rPr>
            </w:pPr>
          </w:p>
        </w:tc>
        <w:tc>
          <w:tcPr>
            <w:tcW w:w="686"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0" w:type="dxa"/>
            <w:vMerge w:val="continue"/>
            <w:vAlign w:val="center"/>
          </w:tcPr>
          <w:p>
            <w:pPr>
              <w:pStyle w:val="45"/>
              <w:rPr>
                <w:rFonts w:eastAsia="仿宋" w:cs="Times New Roman"/>
                <w:sz w:val="21"/>
                <w:szCs w:val="21"/>
              </w:rPr>
            </w:pPr>
          </w:p>
        </w:tc>
        <w:tc>
          <w:tcPr>
            <w:tcW w:w="860" w:type="dxa"/>
            <w:vMerge w:val="continue"/>
            <w:vAlign w:val="center"/>
          </w:tcPr>
          <w:p>
            <w:pPr>
              <w:pStyle w:val="45"/>
              <w:rPr>
                <w:rFonts w:eastAsia="仿宋" w:cs="Times New Roman"/>
                <w:sz w:val="21"/>
                <w:szCs w:val="21"/>
              </w:rPr>
            </w:pPr>
          </w:p>
        </w:tc>
        <w:tc>
          <w:tcPr>
            <w:tcW w:w="2008" w:type="dxa"/>
            <w:gridSpan w:val="2"/>
            <w:vAlign w:val="center"/>
          </w:tcPr>
          <w:p>
            <w:pPr>
              <w:pStyle w:val="45"/>
              <w:rPr>
                <w:rFonts w:eastAsia="仿宋" w:cs="Times New Roman"/>
                <w:sz w:val="21"/>
                <w:szCs w:val="21"/>
              </w:rPr>
            </w:pPr>
            <w:r>
              <w:rPr>
                <w:rFonts w:hint="eastAsia" w:eastAsia="仿宋" w:cs="Times New Roman"/>
                <w:sz w:val="21"/>
                <w:szCs w:val="21"/>
              </w:rPr>
              <w:t>茶文化园</w:t>
            </w:r>
          </w:p>
        </w:tc>
        <w:tc>
          <w:tcPr>
            <w:tcW w:w="709" w:type="dxa"/>
            <w:vAlign w:val="center"/>
          </w:tcPr>
          <w:p>
            <w:pPr>
              <w:pStyle w:val="45"/>
              <w:rPr>
                <w:rFonts w:eastAsia="仿宋" w:cs="Times New Roman"/>
                <w:sz w:val="21"/>
                <w:szCs w:val="21"/>
              </w:rPr>
            </w:pPr>
            <w:r>
              <w:rPr>
                <w:rFonts w:hint="eastAsia" w:eastAsia="仿宋" w:cs="Times New Roman"/>
                <w:sz w:val="21"/>
                <w:szCs w:val="21"/>
              </w:rPr>
              <w:t>处</w:t>
            </w:r>
          </w:p>
        </w:tc>
        <w:tc>
          <w:tcPr>
            <w:tcW w:w="708" w:type="dxa"/>
            <w:vAlign w:val="center"/>
          </w:tcPr>
          <w:p>
            <w:pPr>
              <w:pStyle w:val="45"/>
              <w:rPr>
                <w:rFonts w:eastAsia="仿宋" w:cs="Times New Roman"/>
                <w:sz w:val="21"/>
                <w:szCs w:val="21"/>
              </w:rPr>
            </w:pPr>
            <w:r>
              <w:rPr>
                <w:rFonts w:eastAsia="仿宋" w:cs="Times New Roman"/>
                <w:sz w:val="21"/>
                <w:szCs w:val="21"/>
              </w:rPr>
              <w:t>1</w:t>
            </w:r>
          </w:p>
        </w:tc>
        <w:tc>
          <w:tcPr>
            <w:tcW w:w="2410" w:type="dxa"/>
            <w:vAlign w:val="center"/>
          </w:tcPr>
          <w:p>
            <w:pPr>
              <w:pStyle w:val="45"/>
              <w:rPr>
                <w:rFonts w:eastAsia="仿宋" w:cs="Times New Roman"/>
                <w:sz w:val="21"/>
                <w:szCs w:val="21"/>
              </w:rPr>
            </w:pPr>
            <w:r>
              <w:rPr>
                <w:rFonts w:hint="eastAsia" w:eastAsia="仿宋" w:cs="Times New Roman"/>
                <w:sz w:val="21"/>
                <w:szCs w:val="21"/>
              </w:rPr>
              <w:t>八户山区域</w:t>
            </w:r>
          </w:p>
        </w:tc>
        <w:tc>
          <w:tcPr>
            <w:tcW w:w="709" w:type="dxa"/>
            <w:vAlign w:val="center"/>
          </w:tcPr>
          <w:p>
            <w:pPr>
              <w:pStyle w:val="45"/>
              <w:rPr>
                <w:rFonts w:eastAsia="仿宋" w:cs="Times New Roman"/>
                <w:sz w:val="21"/>
                <w:szCs w:val="21"/>
              </w:rPr>
            </w:pPr>
          </w:p>
        </w:tc>
        <w:tc>
          <w:tcPr>
            <w:tcW w:w="686"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0" w:type="dxa"/>
            <w:vMerge w:val="restart"/>
            <w:vAlign w:val="center"/>
          </w:tcPr>
          <w:p>
            <w:pPr>
              <w:pStyle w:val="45"/>
              <w:rPr>
                <w:rFonts w:eastAsia="仿宋" w:cs="Times New Roman"/>
                <w:sz w:val="21"/>
                <w:szCs w:val="21"/>
              </w:rPr>
            </w:pPr>
            <w:r>
              <w:rPr>
                <w:rFonts w:eastAsia="仿宋" w:cs="Times New Roman"/>
                <w:sz w:val="21"/>
                <w:szCs w:val="21"/>
              </w:rPr>
              <w:t>2</w:t>
            </w:r>
          </w:p>
        </w:tc>
        <w:tc>
          <w:tcPr>
            <w:tcW w:w="860" w:type="dxa"/>
            <w:vMerge w:val="restart"/>
            <w:vAlign w:val="center"/>
          </w:tcPr>
          <w:p>
            <w:pPr>
              <w:pStyle w:val="45"/>
              <w:rPr>
                <w:rFonts w:eastAsia="仿宋" w:cs="Times New Roman"/>
                <w:sz w:val="21"/>
                <w:szCs w:val="21"/>
              </w:rPr>
            </w:pPr>
            <w:r>
              <w:rPr>
                <w:rFonts w:hint="eastAsia" w:eastAsia="仿宋" w:cs="Times New Roman"/>
                <w:sz w:val="21"/>
                <w:szCs w:val="21"/>
              </w:rPr>
              <w:t>旅游服务设施规划</w:t>
            </w:r>
          </w:p>
        </w:tc>
        <w:tc>
          <w:tcPr>
            <w:tcW w:w="2008" w:type="dxa"/>
            <w:gridSpan w:val="2"/>
            <w:vAlign w:val="center"/>
          </w:tcPr>
          <w:p>
            <w:pPr>
              <w:pStyle w:val="45"/>
              <w:rPr>
                <w:rFonts w:eastAsia="仿宋" w:cs="Times New Roman"/>
                <w:sz w:val="21"/>
                <w:szCs w:val="21"/>
              </w:rPr>
            </w:pPr>
            <w:r>
              <w:rPr>
                <w:rFonts w:hint="eastAsia" w:eastAsia="仿宋" w:cs="Times New Roman"/>
                <w:sz w:val="21"/>
                <w:szCs w:val="21"/>
              </w:rPr>
              <w:t>游客服务中心</w:t>
            </w:r>
          </w:p>
        </w:tc>
        <w:tc>
          <w:tcPr>
            <w:tcW w:w="709" w:type="dxa"/>
            <w:vAlign w:val="center"/>
          </w:tcPr>
          <w:p>
            <w:pPr>
              <w:pStyle w:val="45"/>
              <w:rPr>
                <w:rFonts w:eastAsia="仿宋" w:cs="Times New Roman"/>
                <w:sz w:val="21"/>
                <w:szCs w:val="21"/>
              </w:rPr>
            </w:pPr>
            <w:r>
              <w:rPr>
                <w:rFonts w:hint="eastAsia" w:eastAsia="仿宋" w:cs="Times New Roman"/>
                <w:sz w:val="21"/>
                <w:szCs w:val="21"/>
              </w:rPr>
              <w:t>平方米</w:t>
            </w:r>
          </w:p>
        </w:tc>
        <w:tc>
          <w:tcPr>
            <w:tcW w:w="708" w:type="dxa"/>
            <w:vAlign w:val="center"/>
          </w:tcPr>
          <w:p>
            <w:pPr>
              <w:pStyle w:val="45"/>
              <w:rPr>
                <w:rFonts w:eastAsia="仿宋" w:cs="Times New Roman"/>
                <w:sz w:val="21"/>
                <w:szCs w:val="21"/>
              </w:rPr>
            </w:pPr>
            <w:r>
              <w:rPr>
                <w:rFonts w:hint="eastAsia" w:eastAsia="仿宋" w:cs="Times New Roman"/>
                <w:sz w:val="21"/>
                <w:szCs w:val="21"/>
              </w:rPr>
              <w:t>6670</w:t>
            </w:r>
          </w:p>
        </w:tc>
        <w:tc>
          <w:tcPr>
            <w:tcW w:w="2410" w:type="dxa"/>
            <w:vAlign w:val="center"/>
          </w:tcPr>
          <w:p>
            <w:pPr>
              <w:pStyle w:val="45"/>
              <w:rPr>
                <w:rFonts w:eastAsia="仿宋" w:cs="Times New Roman"/>
                <w:sz w:val="21"/>
                <w:szCs w:val="21"/>
              </w:rPr>
            </w:pPr>
            <w:r>
              <w:rPr>
                <w:rFonts w:hint="eastAsia" w:eastAsia="仿宋" w:cs="Times New Roman"/>
                <w:sz w:val="21"/>
                <w:szCs w:val="21"/>
              </w:rPr>
              <w:t>皂市镇生态停车场附近</w:t>
            </w:r>
          </w:p>
        </w:tc>
        <w:tc>
          <w:tcPr>
            <w:tcW w:w="709" w:type="dxa"/>
            <w:vAlign w:val="center"/>
          </w:tcPr>
          <w:p>
            <w:pPr>
              <w:pStyle w:val="45"/>
              <w:rPr>
                <w:rFonts w:eastAsia="仿宋" w:cs="Times New Roman"/>
                <w:sz w:val="21"/>
                <w:szCs w:val="21"/>
              </w:rPr>
            </w:pPr>
            <w:r>
              <w:rPr>
                <w:rFonts w:hint="eastAsia" w:eastAsia="仿宋" w:cs="Times New Roman"/>
                <w:sz w:val="21"/>
                <w:szCs w:val="21"/>
              </w:rPr>
              <w:t>√</w:t>
            </w:r>
          </w:p>
        </w:tc>
        <w:tc>
          <w:tcPr>
            <w:tcW w:w="686"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0" w:type="dxa"/>
            <w:vMerge w:val="continue"/>
            <w:vAlign w:val="center"/>
          </w:tcPr>
          <w:p>
            <w:pPr>
              <w:pStyle w:val="45"/>
              <w:rPr>
                <w:rFonts w:eastAsia="仿宋" w:cs="Times New Roman"/>
                <w:sz w:val="21"/>
                <w:szCs w:val="21"/>
              </w:rPr>
            </w:pPr>
          </w:p>
        </w:tc>
        <w:tc>
          <w:tcPr>
            <w:tcW w:w="860" w:type="dxa"/>
            <w:vMerge w:val="continue"/>
            <w:vAlign w:val="center"/>
          </w:tcPr>
          <w:p>
            <w:pPr>
              <w:pStyle w:val="45"/>
              <w:rPr>
                <w:rFonts w:eastAsia="仿宋" w:cs="Times New Roman"/>
                <w:sz w:val="21"/>
                <w:szCs w:val="21"/>
              </w:rPr>
            </w:pPr>
          </w:p>
        </w:tc>
        <w:tc>
          <w:tcPr>
            <w:tcW w:w="2008" w:type="dxa"/>
            <w:gridSpan w:val="2"/>
            <w:vAlign w:val="center"/>
          </w:tcPr>
          <w:p>
            <w:pPr>
              <w:pStyle w:val="45"/>
              <w:rPr>
                <w:rFonts w:eastAsia="仿宋" w:cs="Times New Roman"/>
                <w:sz w:val="21"/>
                <w:szCs w:val="21"/>
              </w:rPr>
            </w:pPr>
            <w:r>
              <w:rPr>
                <w:rFonts w:hint="eastAsia" w:eastAsia="仿宋" w:cs="Times New Roman"/>
                <w:sz w:val="21"/>
                <w:szCs w:val="21"/>
              </w:rPr>
              <w:t>医疗设施设备</w:t>
            </w:r>
          </w:p>
        </w:tc>
        <w:tc>
          <w:tcPr>
            <w:tcW w:w="709" w:type="dxa"/>
            <w:vAlign w:val="center"/>
          </w:tcPr>
          <w:p>
            <w:pPr>
              <w:pStyle w:val="45"/>
              <w:rPr>
                <w:rFonts w:eastAsia="仿宋" w:cs="Times New Roman"/>
                <w:sz w:val="21"/>
                <w:szCs w:val="21"/>
              </w:rPr>
            </w:pPr>
            <w:r>
              <w:rPr>
                <w:rFonts w:hint="eastAsia" w:eastAsia="仿宋" w:cs="Times New Roman"/>
                <w:sz w:val="21"/>
                <w:szCs w:val="21"/>
              </w:rPr>
              <w:t>项</w:t>
            </w:r>
          </w:p>
        </w:tc>
        <w:tc>
          <w:tcPr>
            <w:tcW w:w="708" w:type="dxa"/>
            <w:vAlign w:val="center"/>
          </w:tcPr>
          <w:p>
            <w:pPr>
              <w:pStyle w:val="45"/>
              <w:rPr>
                <w:rFonts w:eastAsia="仿宋" w:cs="Times New Roman"/>
                <w:sz w:val="21"/>
                <w:szCs w:val="21"/>
              </w:rPr>
            </w:pPr>
            <w:r>
              <w:rPr>
                <w:rFonts w:eastAsia="仿宋" w:cs="Times New Roman"/>
                <w:sz w:val="21"/>
                <w:szCs w:val="21"/>
              </w:rPr>
              <w:t>1</w:t>
            </w:r>
          </w:p>
        </w:tc>
        <w:tc>
          <w:tcPr>
            <w:tcW w:w="2410" w:type="dxa"/>
            <w:vAlign w:val="center"/>
          </w:tcPr>
          <w:p>
            <w:pPr>
              <w:pStyle w:val="45"/>
              <w:rPr>
                <w:rFonts w:eastAsia="仿宋" w:cs="Times New Roman"/>
                <w:sz w:val="21"/>
                <w:szCs w:val="21"/>
              </w:rPr>
            </w:pPr>
            <w:r>
              <w:rPr>
                <w:rFonts w:hint="eastAsia" w:eastAsia="仿宋" w:cs="Times New Roman"/>
                <w:sz w:val="21"/>
                <w:szCs w:val="21"/>
              </w:rPr>
              <w:t>游客服务中心</w:t>
            </w:r>
          </w:p>
        </w:tc>
        <w:tc>
          <w:tcPr>
            <w:tcW w:w="709" w:type="dxa"/>
            <w:vAlign w:val="center"/>
          </w:tcPr>
          <w:p>
            <w:pPr>
              <w:pStyle w:val="45"/>
              <w:rPr>
                <w:rFonts w:eastAsia="仿宋" w:cs="Times New Roman"/>
                <w:sz w:val="21"/>
                <w:szCs w:val="21"/>
              </w:rPr>
            </w:pPr>
            <w:r>
              <w:rPr>
                <w:rFonts w:hint="eastAsia" w:eastAsia="仿宋" w:cs="Times New Roman"/>
                <w:sz w:val="21"/>
                <w:szCs w:val="21"/>
              </w:rPr>
              <w:t>√</w:t>
            </w:r>
          </w:p>
        </w:tc>
        <w:tc>
          <w:tcPr>
            <w:tcW w:w="686"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0" w:type="dxa"/>
            <w:vMerge w:val="continue"/>
            <w:vAlign w:val="center"/>
          </w:tcPr>
          <w:p>
            <w:pPr>
              <w:pStyle w:val="45"/>
              <w:rPr>
                <w:rFonts w:eastAsia="仿宋" w:cs="Times New Roman"/>
                <w:sz w:val="21"/>
                <w:szCs w:val="21"/>
              </w:rPr>
            </w:pPr>
          </w:p>
        </w:tc>
        <w:tc>
          <w:tcPr>
            <w:tcW w:w="860" w:type="dxa"/>
            <w:vMerge w:val="continue"/>
            <w:vAlign w:val="center"/>
          </w:tcPr>
          <w:p>
            <w:pPr>
              <w:pStyle w:val="45"/>
              <w:rPr>
                <w:rFonts w:eastAsia="仿宋" w:cs="Times New Roman"/>
                <w:sz w:val="21"/>
                <w:szCs w:val="21"/>
              </w:rPr>
            </w:pPr>
          </w:p>
        </w:tc>
        <w:tc>
          <w:tcPr>
            <w:tcW w:w="732" w:type="dxa"/>
            <w:vMerge w:val="restart"/>
            <w:vAlign w:val="center"/>
          </w:tcPr>
          <w:p>
            <w:pPr>
              <w:pStyle w:val="45"/>
              <w:rPr>
                <w:rFonts w:eastAsia="仿宋" w:cs="Times New Roman"/>
                <w:sz w:val="21"/>
                <w:szCs w:val="21"/>
              </w:rPr>
            </w:pPr>
            <w:r>
              <w:rPr>
                <w:rFonts w:hint="eastAsia" w:eastAsia="仿宋" w:cs="Times New Roman"/>
                <w:sz w:val="21"/>
                <w:szCs w:val="21"/>
              </w:rPr>
              <w:t>环卫设施规划</w:t>
            </w:r>
          </w:p>
        </w:tc>
        <w:tc>
          <w:tcPr>
            <w:tcW w:w="1276" w:type="dxa"/>
            <w:vAlign w:val="center"/>
          </w:tcPr>
          <w:p>
            <w:pPr>
              <w:pStyle w:val="45"/>
              <w:rPr>
                <w:rFonts w:eastAsia="仿宋" w:cs="Times New Roman"/>
                <w:sz w:val="21"/>
                <w:szCs w:val="21"/>
              </w:rPr>
            </w:pPr>
            <w:r>
              <w:rPr>
                <w:rFonts w:hint="eastAsia" w:eastAsia="仿宋" w:cs="Times New Roman"/>
                <w:sz w:val="21"/>
                <w:szCs w:val="21"/>
              </w:rPr>
              <w:t>生态厕所</w:t>
            </w:r>
          </w:p>
        </w:tc>
        <w:tc>
          <w:tcPr>
            <w:tcW w:w="709" w:type="dxa"/>
            <w:vAlign w:val="center"/>
          </w:tcPr>
          <w:p>
            <w:pPr>
              <w:pStyle w:val="45"/>
              <w:rPr>
                <w:rFonts w:eastAsia="仿宋" w:cs="Times New Roman"/>
                <w:sz w:val="21"/>
                <w:szCs w:val="21"/>
              </w:rPr>
            </w:pPr>
            <w:r>
              <w:rPr>
                <w:rFonts w:hint="eastAsia" w:eastAsia="仿宋" w:cs="Times New Roman"/>
                <w:sz w:val="21"/>
                <w:szCs w:val="21"/>
              </w:rPr>
              <w:t>座</w:t>
            </w:r>
          </w:p>
        </w:tc>
        <w:tc>
          <w:tcPr>
            <w:tcW w:w="708" w:type="dxa"/>
            <w:vAlign w:val="center"/>
          </w:tcPr>
          <w:p>
            <w:pPr>
              <w:pStyle w:val="45"/>
              <w:rPr>
                <w:rFonts w:eastAsia="仿宋" w:cs="Times New Roman"/>
                <w:sz w:val="21"/>
                <w:szCs w:val="21"/>
              </w:rPr>
            </w:pPr>
            <w:r>
              <w:rPr>
                <w:rFonts w:eastAsia="仿宋" w:cs="Times New Roman"/>
                <w:sz w:val="21"/>
                <w:szCs w:val="21"/>
              </w:rPr>
              <w:t>20</w:t>
            </w:r>
          </w:p>
        </w:tc>
        <w:tc>
          <w:tcPr>
            <w:tcW w:w="2410" w:type="dxa"/>
            <w:vAlign w:val="center"/>
          </w:tcPr>
          <w:p>
            <w:pPr>
              <w:pStyle w:val="45"/>
              <w:rPr>
                <w:rFonts w:eastAsia="仿宋" w:cs="Times New Roman"/>
                <w:sz w:val="21"/>
                <w:szCs w:val="21"/>
              </w:rPr>
            </w:pPr>
            <w:r>
              <w:rPr>
                <w:rFonts w:hint="eastAsia" w:eastAsia="仿宋" w:cs="Times New Roman"/>
                <w:sz w:val="21"/>
                <w:szCs w:val="21"/>
              </w:rPr>
              <w:t>环湖公路、马鞍岛等</w:t>
            </w:r>
          </w:p>
        </w:tc>
        <w:tc>
          <w:tcPr>
            <w:tcW w:w="709" w:type="dxa"/>
            <w:vAlign w:val="center"/>
          </w:tcPr>
          <w:p>
            <w:pPr>
              <w:pStyle w:val="45"/>
              <w:rPr>
                <w:rFonts w:eastAsia="仿宋" w:cs="Times New Roman"/>
                <w:sz w:val="21"/>
                <w:szCs w:val="21"/>
              </w:rPr>
            </w:pPr>
            <w:r>
              <w:rPr>
                <w:rFonts w:hint="eastAsia" w:eastAsia="仿宋" w:cs="Times New Roman"/>
                <w:sz w:val="21"/>
                <w:szCs w:val="21"/>
              </w:rPr>
              <w:t>√</w:t>
            </w:r>
          </w:p>
        </w:tc>
        <w:tc>
          <w:tcPr>
            <w:tcW w:w="686"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0" w:type="dxa"/>
            <w:vMerge w:val="continue"/>
            <w:vAlign w:val="center"/>
          </w:tcPr>
          <w:p>
            <w:pPr>
              <w:pStyle w:val="45"/>
              <w:rPr>
                <w:rFonts w:eastAsia="仿宋" w:cs="Times New Roman"/>
                <w:sz w:val="21"/>
                <w:szCs w:val="21"/>
              </w:rPr>
            </w:pPr>
          </w:p>
        </w:tc>
        <w:tc>
          <w:tcPr>
            <w:tcW w:w="860" w:type="dxa"/>
            <w:vMerge w:val="continue"/>
            <w:vAlign w:val="center"/>
          </w:tcPr>
          <w:p>
            <w:pPr>
              <w:pStyle w:val="45"/>
              <w:rPr>
                <w:rFonts w:eastAsia="仿宋" w:cs="Times New Roman"/>
                <w:sz w:val="21"/>
                <w:szCs w:val="21"/>
              </w:rPr>
            </w:pPr>
          </w:p>
        </w:tc>
        <w:tc>
          <w:tcPr>
            <w:tcW w:w="732" w:type="dxa"/>
            <w:vMerge w:val="continue"/>
            <w:vAlign w:val="center"/>
          </w:tcPr>
          <w:p>
            <w:pPr>
              <w:pStyle w:val="45"/>
              <w:rPr>
                <w:rFonts w:eastAsia="仿宋" w:cs="Times New Roman"/>
                <w:sz w:val="21"/>
                <w:szCs w:val="21"/>
              </w:rPr>
            </w:pPr>
          </w:p>
        </w:tc>
        <w:tc>
          <w:tcPr>
            <w:tcW w:w="1276" w:type="dxa"/>
            <w:vAlign w:val="center"/>
          </w:tcPr>
          <w:p>
            <w:pPr>
              <w:pStyle w:val="45"/>
              <w:rPr>
                <w:rFonts w:eastAsia="仿宋" w:cs="Times New Roman"/>
                <w:sz w:val="21"/>
                <w:szCs w:val="21"/>
              </w:rPr>
            </w:pPr>
            <w:r>
              <w:rPr>
                <w:rFonts w:hint="eastAsia" w:eastAsia="仿宋" w:cs="Times New Roman"/>
                <w:sz w:val="21"/>
                <w:szCs w:val="21"/>
              </w:rPr>
              <w:t>垃圾箱</w:t>
            </w:r>
          </w:p>
        </w:tc>
        <w:tc>
          <w:tcPr>
            <w:tcW w:w="709" w:type="dxa"/>
            <w:vAlign w:val="center"/>
          </w:tcPr>
          <w:p>
            <w:pPr>
              <w:pStyle w:val="45"/>
              <w:rPr>
                <w:rFonts w:eastAsia="仿宋" w:cs="Times New Roman"/>
                <w:sz w:val="21"/>
                <w:szCs w:val="21"/>
              </w:rPr>
            </w:pPr>
            <w:r>
              <w:rPr>
                <w:rFonts w:hint="eastAsia" w:eastAsia="仿宋" w:cs="Times New Roman"/>
                <w:sz w:val="21"/>
                <w:szCs w:val="21"/>
              </w:rPr>
              <w:t>个</w:t>
            </w:r>
          </w:p>
        </w:tc>
        <w:tc>
          <w:tcPr>
            <w:tcW w:w="708" w:type="dxa"/>
            <w:vAlign w:val="center"/>
          </w:tcPr>
          <w:p>
            <w:pPr>
              <w:pStyle w:val="45"/>
              <w:rPr>
                <w:rFonts w:eastAsia="仿宋" w:cs="Times New Roman"/>
                <w:sz w:val="21"/>
                <w:szCs w:val="21"/>
              </w:rPr>
            </w:pPr>
            <w:r>
              <w:rPr>
                <w:rFonts w:hint="eastAsia" w:eastAsia="仿宋" w:cs="Times New Roman"/>
                <w:sz w:val="21"/>
                <w:szCs w:val="21"/>
              </w:rPr>
              <w:t>500</w:t>
            </w:r>
          </w:p>
        </w:tc>
        <w:tc>
          <w:tcPr>
            <w:tcW w:w="2410" w:type="dxa"/>
            <w:vAlign w:val="center"/>
          </w:tcPr>
          <w:p>
            <w:pPr>
              <w:pStyle w:val="45"/>
              <w:rPr>
                <w:rFonts w:eastAsia="仿宋" w:cs="Times New Roman"/>
                <w:sz w:val="21"/>
                <w:szCs w:val="21"/>
              </w:rPr>
            </w:pPr>
            <w:r>
              <w:rPr>
                <w:rFonts w:hint="eastAsia" w:eastAsia="仿宋" w:cs="Times New Roman"/>
                <w:sz w:val="21"/>
                <w:szCs w:val="21"/>
              </w:rPr>
              <w:t>合理利用区</w:t>
            </w:r>
          </w:p>
        </w:tc>
        <w:tc>
          <w:tcPr>
            <w:tcW w:w="709" w:type="dxa"/>
            <w:vAlign w:val="center"/>
          </w:tcPr>
          <w:p>
            <w:pPr>
              <w:pStyle w:val="45"/>
              <w:rPr>
                <w:rFonts w:eastAsia="仿宋" w:cs="Times New Roman"/>
                <w:sz w:val="21"/>
                <w:szCs w:val="21"/>
              </w:rPr>
            </w:pPr>
            <w:r>
              <w:rPr>
                <w:rFonts w:hint="eastAsia" w:eastAsia="仿宋" w:cs="Times New Roman"/>
                <w:sz w:val="21"/>
                <w:szCs w:val="21"/>
              </w:rPr>
              <w:t>√</w:t>
            </w:r>
          </w:p>
        </w:tc>
        <w:tc>
          <w:tcPr>
            <w:tcW w:w="686"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0" w:type="dxa"/>
            <w:vMerge w:val="continue"/>
            <w:vAlign w:val="center"/>
          </w:tcPr>
          <w:p>
            <w:pPr>
              <w:pStyle w:val="45"/>
              <w:rPr>
                <w:rFonts w:eastAsia="仿宋" w:cs="Times New Roman"/>
                <w:sz w:val="21"/>
                <w:szCs w:val="21"/>
              </w:rPr>
            </w:pPr>
          </w:p>
        </w:tc>
        <w:tc>
          <w:tcPr>
            <w:tcW w:w="860" w:type="dxa"/>
            <w:vMerge w:val="continue"/>
            <w:vAlign w:val="center"/>
          </w:tcPr>
          <w:p>
            <w:pPr>
              <w:pStyle w:val="45"/>
              <w:rPr>
                <w:rFonts w:eastAsia="仿宋" w:cs="Times New Roman"/>
                <w:sz w:val="21"/>
                <w:szCs w:val="21"/>
              </w:rPr>
            </w:pPr>
          </w:p>
        </w:tc>
        <w:tc>
          <w:tcPr>
            <w:tcW w:w="732" w:type="dxa"/>
            <w:vMerge w:val="restart"/>
            <w:vAlign w:val="center"/>
          </w:tcPr>
          <w:p>
            <w:pPr>
              <w:pStyle w:val="45"/>
              <w:rPr>
                <w:rFonts w:eastAsia="仿宋" w:cs="Times New Roman"/>
                <w:sz w:val="21"/>
                <w:szCs w:val="21"/>
              </w:rPr>
            </w:pPr>
            <w:r>
              <w:rPr>
                <w:rFonts w:hint="eastAsia" w:eastAsia="仿宋" w:cs="Times New Roman"/>
                <w:sz w:val="21"/>
                <w:szCs w:val="21"/>
              </w:rPr>
              <w:t>交通服务设施规划</w:t>
            </w:r>
          </w:p>
        </w:tc>
        <w:tc>
          <w:tcPr>
            <w:tcW w:w="1276" w:type="dxa"/>
            <w:vAlign w:val="center"/>
          </w:tcPr>
          <w:p>
            <w:pPr>
              <w:pStyle w:val="45"/>
              <w:rPr>
                <w:rFonts w:eastAsia="仿宋" w:cs="Times New Roman"/>
                <w:sz w:val="21"/>
                <w:szCs w:val="21"/>
              </w:rPr>
            </w:pPr>
            <w:r>
              <w:rPr>
                <w:rFonts w:hint="eastAsia" w:eastAsia="仿宋" w:cs="Times New Roman"/>
                <w:sz w:val="21"/>
                <w:szCs w:val="21"/>
              </w:rPr>
              <w:t>码头综合服务站</w:t>
            </w:r>
          </w:p>
        </w:tc>
        <w:tc>
          <w:tcPr>
            <w:tcW w:w="709" w:type="dxa"/>
            <w:vAlign w:val="center"/>
          </w:tcPr>
          <w:p>
            <w:pPr>
              <w:pStyle w:val="45"/>
              <w:rPr>
                <w:rFonts w:eastAsia="仿宋" w:cs="Times New Roman"/>
                <w:sz w:val="21"/>
                <w:szCs w:val="21"/>
              </w:rPr>
            </w:pPr>
            <w:r>
              <w:rPr>
                <w:rFonts w:hint="eastAsia" w:eastAsia="仿宋" w:cs="Times New Roman"/>
                <w:sz w:val="21"/>
                <w:szCs w:val="21"/>
              </w:rPr>
              <w:t>处</w:t>
            </w:r>
          </w:p>
        </w:tc>
        <w:tc>
          <w:tcPr>
            <w:tcW w:w="708" w:type="dxa"/>
            <w:vAlign w:val="center"/>
          </w:tcPr>
          <w:p>
            <w:pPr>
              <w:pStyle w:val="45"/>
              <w:rPr>
                <w:rFonts w:eastAsia="仿宋" w:cs="Times New Roman"/>
                <w:sz w:val="21"/>
                <w:szCs w:val="21"/>
              </w:rPr>
            </w:pPr>
            <w:r>
              <w:rPr>
                <w:rFonts w:hint="eastAsia" w:eastAsia="仿宋" w:cs="Times New Roman"/>
                <w:sz w:val="21"/>
                <w:szCs w:val="21"/>
              </w:rPr>
              <w:t>7</w:t>
            </w:r>
          </w:p>
        </w:tc>
        <w:tc>
          <w:tcPr>
            <w:tcW w:w="2410" w:type="dxa"/>
            <w:vAlign w:val="center"/>
          </w:tcPr>
          <w:p>
            <w:pPr>
              <w:pStyle w:val="45"/>
              <w:rPr>
                <w:rFonts w:eastAsia="仿宋" w:cs="Times New Roman"/>
                <w:sz w:val="21"/>
                <w:szCs w:val="21"/>
              </w:rPr>
            </w:pPr>
            <w:r>
              <w:rPr>
                <w:rFonts w:hint="eastAsia" w:eastAsia="仿宋" w:cs="Times New Roman"/>
                <w:sz w:val="21"/>
                <w:szCs w:val="21"/>
              </w:rPr>
              <w:t>皂市、维新、磨市、雁池、白云镇码头</w:t>
            </w:r>
          </w:p>
        </w:tc>
        <w:tc>
          <w:tcPr>
            <w:tcW w:w="709" w:type="dxa"/>
            <w:vAlign w:val="center"/>
          </w:tcPr>
          <w:p>
            <w:pPr>
              <w:pStyle w:val="45"/>
              <w:rPr>
                <w:rFonts w:eastAsia="仿宋" w:cs="Times New Roman"/>
                <w:sz w:val="21"/>
                <w:szCs w:val="21"/>
              </w:rPr>
            </w:pPr>
            <w:r>
              <w:rPr>
                <w:rFonts w:hint="eastAsia" w:eastAsia="仿宋" w:cs="Times New Roman"/>
                <w:sz w:val="21"/>
                <w:szCs w:val="21"/>
              </w:rPr>
              <w:t>√</w:t>
            </w:r>
          </w:p>
        </w:tc>
        <w:tc>
          <w:tcPr>
            <w:tcW w:w="686"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0" w:type="dxa"/>
            <w:vMerge w:val="continue"/>
            <w:vAlign w:val="center"/>
          </w:tcPr>
          <w:p>
            <w:pPr>
              <w:pStyle w:val="45"/>
              <w:rPr>
                <w:rFonts w:eastAsia="仿宋" w:cs="Times New Roman"/>
                <w:sz w:val="21"/>
                <w:szCs w:val="21"/>
              </w:rPr>
            </w:pPr>
          </w:p>
        </w:tc>
        <w:tc>
          <w:tcPr>
            <w:tcW w:w="860" w:type="dxa"/>
            <w:vMerge w:val="continue"/>
            <w:vAlign w:val="center"/>
          </w:tcPr>
          <w:p>
            <w:pPr>
              <w:pStyle w:val="45"/>
              <w:rPr>
                <w:rFonts w:eastAsia="仿宋" w:cs="Times New Roman"/>
                <w:sz w:val="21"/>
                <w:szCs w:val="21"/>
              </w:rPr>
            </w:pPr>
          </w:p>
        </w:tc>
        <w:tc>
          <w:tcPr>
            <w:tcW w:w="732" w:type="dxa"/>
            <w:vMerge w:val="continue"/>
            <w:vAlign w:val="center"/>
          </w:tcPr>
          <w:p>
            <w:pPr>
              <w:pStyle w:val="45"/>
              <w:rPr>
                <w:rFonts w:eastAsia="仿宋" w:cs="Times New Roman"/>
                <w:sz w:val="21"/>
                <w:szCs w:val="21"/>
              </w:rPr>
            </w:pPr>
          </w:p>
        </w:tc>
        <w:tc>
          <w:tcPr>
            <w:tcW w:w="1276" w:type="dxa"/>
            <w:vAlign w:val="center"/>
          </w:tcPr>
          <w:p>
            <w:pPr>
              <w:pStyle w:val="45"/>
              <w:rPr>
                <w:rFonts w:eastAsia="仿宋" w:cs="Times New Roman"/>
                <w:sz w:val="21"/>
                <w:szCs w:val="21"/>
              </w:rPr>
            </w:pPr>
            <w:r>
              <w:rPr>
                <w:rFonts w:hint="eastAsia" w:eastAsia="仿宋" w:cs="Times New Roman"/>
                <w:sz w:val="21"/>
                <w:szCs w:val="21"/>
              </w:rPr>
              <w:t>观光索道</w:t>
            </w:r>
          </w:p>
        </w:tc>
        <w:tc>
          <w:tcPr>
            <w:tcW w:w="709" w:type="dxa"/>
            <w:vAlign w:val="center"/>
          </w:tcPr>
          <w:p>
            <w:pPr>
              <w:pStyle w:val="45"/>
              <w:rPr>
                <w:rFonts w:eastAsia="仿宋" w:cs="Times New Roman"/>
                <w:sz w:val="21"/>
                <w:szCs w:val="21"/>
              </w:rPr>
            </w:pPr>
            <w:r>
              <w:rPr>
                <w:rFonts w:hint="eastAsia" w:eastAsia="仿宋" w:cs="Times New Roman"/>
                <w:sz w:val="21"/>
                <w:szCs w:val="21"/>
              </w:rPr>
              <w:t>处</w:t>
            </w:r>
          </w:p>
        </w:tc>
        <w:tc>
          <w:tcPr>
            <w:tcW w:w="708" w:type="dxa"/>
            <w:vAlign w:val="center"/>
          </w:tcPr>
          <w:p>
            <w:pPr>
              <w:pStyle w:val="45"/>
              <w:rPr>
                <w:rFonts w:eastAsia="仿宋" w:cs="Times New Roman"/>
                <w:sz w:val="21"/>
                <w:szCs w:val="21"/>
              </w:rPr>
            </w:pPr>
            <w:r>
              <w:rPr>
                <w:rFonts w:hint="eastAsia" w:eastAsia="仿宋" w:cs="Times New Roman"/>
                <w:sz w:val="21"/>
                <w:szCs w:val="21"/>
              </w:rPr>
              <w:t>1</w:t>
            </w:r>
          </w:p>
        </w:tc>
        <w:tc>
          <w:tcPr>
            <w:tcW w:w="2410" w:type="dxa"/>
            <w:vAlign w:val="center"/>
          </w:tcPr>
          <w:p>
            <w:pPr>
              <w:pStyle w:val="45"/>
              <w:rPr>
                <w:rFonts w:eastAsia="仿宋" w:cs="Times New Roman"/>
                <w:sz w:val="21"/>
                <w:szCs w:val="21"/>
              </w:rPr>
            </w:pPr>
            <w:r>
              <w:rPr>
                <w:rFonts w:hint="eastAsia" w:eastAsia="仿宋" w:cs="Times New Roman"/>
                <w:sz w:val="21"/>
                <w:szCs w:val="21"/>
              </w:rPr>
              <w:t>白云山-八户山</w:t>
            </w:r>
          </w:p>
        </w:tc>
        <w:tc>
          <w:tcPr>
            <w:tcW w:w="709" w:type="dxa"/>
            <w:vAlign w:val="center"/>
          </w:tcPr>
          <w:p>
            <w:pPr>
              <w:pStyle w:val="45"/>
              <w:rPr>
                <w:rFonts w:eastAsia="仿宋" w:cs="Times New Roman"/>
                <w:sz w:val="21"/>
                <w:szCs w:val="21"/>
              </w:rPr>
            </w:pPr>
            <w:r>
              <w:rPr>
                <w:rFonts w:hint="eastAsia" w:eastAsia="仿宋" w:cs="Times New Roman"/>
                <w:sz w:val="21"/>
                <w:szCs w:val="21"/>
              </w:rPr>
              <w:t>√</w:t>
            </w:r>
          </w:p>
        </w:tc>
        <w:tc>
          <w:tcPr>
            <w:tcW w:w="686"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0" w:type="dxa"/>
            <w:vMerge w:val="continue"/>
            <w:vAlign w:val="center"/>
          </w:tcPr>
          <w:p>
            <w:pPr>
              <w:pStyle w:val="45"/>
              <w:rPr>
                <w:rFonts w:eastAsia="仿宋" w:cs="Times New Roman"/>
                <w:sz w:val="21"/>
                <w:szCs w:val="21"/>
              </w:rPr>
            </w:pPr>
          </w:p>
        </w:tc>
        <w:tc>
          <w:tcPr>
            <w:tcW w:w="860" w:type="dxa"/>
            <w:vMerge w:val="continue"/>
            <w:vAlign w:val="center"/>
          </w:tcPr>
          <w:p>
            <w:pPr>
              <w:pStyle w:val="45"/>
              <w:rPr>
                <w:rFonts w:eastAsia="仿宋" w:cs="Times New Roman"/>
                <w:sz w:val="21"/>
                <w:szCs w:val="21"/>
              </w:rPr>
            </w:pPr>
          </w:p>
        </w:tc>
        <w:tc>
          <w:tcPr>
            <w:tcW w:w="732" w:type="dxa"/>
            <w:vMerge w:val="continue"/>
            <w:vAlign w:val="center"/>
          </w:tcPr>
          <w:p>
            <w:pPr>
              <w:pStyle w:val="45"/>
              <w:rPr>
                <w:rFonts w:eastAsia="仿宋" w:cs="Times New Roman"/>
                <w:sz w:val="21"/>
                <w:szCs w:val="21"/>
              </w:rPr>
            </w:pPr>
          </w:p>
        </w:tc>
        <w:tc>
          <w:tcPr>
            <w:tcW w:w="1276" w:type="dxa"/>
            <w:vAlign w:val="center"/>
          </w:tcPr>
          <w:p>
            <w:pPr>
              <w:pStyle w:val="45"/>
              <w:rPr>
                <w:rFonts w:eastAsia="仿宋" w:cs="Times New Roman"/>
                <w:sz w:val="21"/>
                <w:szCs w:val="21"/>
              </w:rPr>
            </w:pPr>
            <w:r>
              <w:rPr>
                <w:rFonts w:hint="eastAsia" w:eastAsia="仿宋" w:cs="Times New Roman"/>
                <w:sz w:val="21"/>
                <w:szCs w:val="21"/>
              </w:rPr>
              <w:t>小型客车</w:t>
            </w:r>
          </w:p>
        </w:tc>
        <w:tc>
          <w:tcPr>
            <w:tcW w:w="709" w:type="dxa"/>
            <w:vAlign w:val="center"/>
          </w:tcPr>
          <w:p>
            <w:pPr>
              <w:pStyle w:val="45"/>
              <w:rPr>
                <w:rFonts w:eastAsia="仿宋" w:cs="Times New Roman"/>
                <w:sz w:val="21"/>
                <w:szCs w:val="21"/>
              </w:rPr>
            </w:pPr>
            <w:r>
              <w:rPr>
                <w:rFonts w:hint="eastAsia" w:eastAsia="仿宋" w:cs="Times New Roman"/>
                <w:sz w:val="21"/>
                <w:szCs w:val="21"/>
              </w:rPr>
              <w:t>辆</w:t>
            </w:r>
          </w:p>
        </w:tc>
        <w:tc>
          <w:tcPr>
            <w:tcW w:w="708" w:type="dxa"/>
            <w:vAlign w:val="center"/>
          </w:tcPr>
          <w:p>
            <w:pPr>
              <w:pStyle w:val="45"/>
              <w:rPr>
                <w:rFonts w:eastAsia="仿宋" w:cs="Times New Roman"/>
                <w:sz w:val="21"/>
                <w:szCs w:val="21"/>
              </w:rPr>
            </w:pPr>
            <w:r>
              <w:rPr>
                <w:rFonts w:eastAsia="仿宋" w:cs="Times New Roman"/>
                <w:sz w:val="21"/>
                <w:szCs w:val="21"/>
              </w:rPr>
              <w:t>5</w:t>
            </w:r>
          </w:p>
        </w:tc>
        <w:tc>
          <w:tcPr>
            <w:tcW w:w="2410" w:type="dxa"/>
            <w:vAlign w:val="center"/>
          </w:tcPr>
          <w:p>
            <w:pPr>
              <w:pStyle w:val="45"/>
              <w:rPr>
                <w:rFonts w:eastAsia="仿宋" w:cs="Times New Roman"/>
                <w:sz w:val="21"/>
                <w:szCs w:val="21"/>
              </w:rPr>
            </w:pPr>
          </w:p>
        </w:tc>
        <w:tc>
          <w:tcPr>
            <w:tcW w:w="709" w:type="dxa"/>
            <w:vAlign w:val="center"/>
          </w:tcPr>
          <w:p>
            <w:pPr>
              <w:pStyle w:val="45"/>
              <w:rPr>
                <w:rFonts w:eastAsia="仿宋" w:cs="Times New Roman"/>
                <w:sz w:val="21"/>
                <w:szCs w:val="21"/>
              </w:rPr>
            </w:pPr>
            <w:r>
              <w:rPr>
                <w:rFonts w:hint="eastAsia" w:eastAsia="仿宋" w:cs="Times New Roman"/>
                <w:sz w:val="21"/>
                <w:szCs w:val="21"/>
              </w:rPr>
              <w:t>√</w:t>
            </w:r>
          </w:p>
        </w:tc>
        <w:tc>
          <w:tcPr>
            <w:tcW w:w="686"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0" w:type="dxa"/>
            <w:vMerge w:val="continue"/>
            <w:vAlign w:val="center"/>
          </w:tcPr>
          <w:p>
            <w:pPr>
              <w:pStyle w:val="45"/>
              <w:rPr>
                <w:rFonts w:eastAsia="仿宋" w:cs="Times New Roman"/>
                <w:sz w:val="21"/>
                <w:szCs w:val="21"/>
              </w:rPr>
            </w:pPr>
          </w:p>
        </w:tc>
        <w:tc>
          <w:tcPr>
            <w:tcW w:w="860" w:type="dxa"/>
            <w:vMerge w:val="continue"/>
            <w:vAlign w:val="center"/>
          </w:tcPr>
          <w:p>
            <w:pPr>
              <w:pStyle w:val="45"/>
              <w:rPr>
                <w:rFonts w:eastAsia="仿宋" w:cs="Times New Roman"/>
                <w:sz w:val="21"/>
                <w:szCs w:val="21"/>
              </w:rPr>
            </w:pPr>
          </w:p>
        </w:tc>
        <w:tc>
          <w:tcPr>
            <w:tcW w:w="732" w:type="dxa"/>
            <w:vMerge w:val="continue"/>
            <w:vAlign w:val="center"/>
          </w:tcPr>
          <w:p>
            <w:pPr>
              <w:pStyle w:val="45"/>
              <w:rPr>
                <w:rFonts w:eastAsia="仿宋" w:cs="Times New Roman"/>
                <w:sz w:val="21"/>
                <w:szCs w:val="21"/>
              </w:rPr>
            </w:pPr>
          </w:p>
        </w:tc>
        <w:tc>
          <w:tcPr>
            <w:tcW w:w="1276" w:type="dxa"/>
            <w:vAlign w:val="center"/>
          </w:tcPr>
          <w:p>
            <w:pPr>
              <w:pStyle w:val="45"/>
              <w:rPr>
                <w:rFonts w:eastAsia="仿宋" w:cs="Times New Roman"/>
                <w:sz w:val="21"/>
                <w:szCs w:val="21"/>
              </w:rPr>
            </w:pPr>
            <w:r>
              <w:rPr>
                <w:rFonts w:hint="eastAsia" w:eastAsia="仿宋" w:cs="Times New Roman"/>
                <w:sz w:val="21"/>
                <w:szCs w:val="21"/>
              </w:rPr>
              <w:t>电瓶车</w:t>
            </w:r>
          </w:p>
        </w:tc>
        <w:tc>
          <w:tcPr>
            <w:tcW w:w="709" w:type="dxa"/>
            <w:vAlign w:val="center"/>
          </w:tcPr>
          <w:p>
            <w:pPr>
              <w:pStyle w:val="45"/>
              <w:rPr>
                <w:rFonts w:eastAsia="仿宋" w:cs="Times New Roman"/>
                <w:sz w:val="21"/>
                <w:szCs w:val="21"/>
              </w:rPr>
            </w:pPr>
            <w:r>
              <w:rPr>
                <w:rFonts w:hint="eastAsia" w:eastAsia="仿宋" w:cs="Times New Roman"/>
                <w:sz w:val="21"/>
                <w:szCs w:val="21"/>
              </w:rPr>
              <w:t>辆</w:t>
            </w:r>
          </w:p>
        </w:tc>
        <w:tc>
          <w:tcPr>
            <w:tcW w:w="708" w:type="dxa"/>
            <w:vAlign w:val="center"/>
          </w:tcPr>
          <w:p>
            <w:pPr>
              <w:pStyle w:val="45"/>
              <w:rPr>
                <w:rFonts w:eastAsia="仿宋" w:cs="Times New Roman"/>
                <w:sz w:val="21"/>
                <w:szCs w:val="21"/>
              </w:rPr>
            </w:pPr>
            <w:r>
              <w:rPr>
                <w:rFonts w:eastAsia="仿宋" w:cs="Times New Roman"/>
                <w:sz w:val="21"/>
                <w:szCs w:val="21"/>
              </w:rPr>
              <w:t>15</w:t>
            </w:r>
          </w:p>
        </w:tc>
        <w:tc>
          <w:tcPr>
            <w:tcW w:w="2410" w:type="dxa"/>
            <w:vAlign w:val="center"/>
          </w:tcPr>
          <w:p>
            <w:pPr>
              <w:pStyle w:val="45"/>
              <w:rPr>
                <w:rFonts w:eastAsia="仿宋" w:cs="Times New Roman"/>
                <w:sz w:val="21"/>
                <w:szCs w:val="21"/>
              </w:rPr>
            </w:pPr>
          </w:p>
        </w:tc>
        <w:tc>
          <w:tcPr>
            <w:tcW w:w="709" w:type="dxa"/>
            <w:vAlign w:val="center"/>
          </w:tcPr>
          <w:p>
            <w:pPr>
              <w:pStyle w:val="45"/>
              <w:rPr>
                <w:rFonts w:eastAsia="仿宋" w:cs="Times New Roman"/>
                <w:sz w:val="21"/>
                <w:szCs w:val="21"/>
              </w:rPr>
            </w:pPr>
            <w:r>
              <w:rPr>
                <w:rFonts w:hint="eastAsia" w:eastAsia="仿宋" w:cs="Times New Roman"/>
                <w:sz w:val="21"/>
                <w:szCs w:val="21"/>
              </w:rPr>
              <w:t>√</w:t>
            </w:r>
          </w:p>
        </w:tc>
        <w:tc>
          <w:tcPr>
            <w:tcW w:w="686"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0" w:type="dxa"/>
            <w:vMerge w:val="continue"/>
            <w:vAlign w:val="center"/>
          </w:tcPr>
          <w:p>
            <w:pPr>
              <w:pStyle w:val="45"/>
              <w:rPr>
                <w:rFonts w:eastAsia="仿宋" w:cs="Times New Roman"/>
                <w:sz w:val="21"/>
                <w:szCs w:val="21"/>
              </w:rPr>
            </w:pPr>
          </w:p>
        </w:tc>
        <w:tc>
          <w:tcPr>
            <w:tcW w:w="860" w:type="dxa"/>
            <w:vMerge w:val="continue"/>
            <w:vAlign w:val="center"/>
          </w:tcPr>
          <w:p>
            <w:pPr>
              <w:pStyle w:val="45"/>
              <w:rPr>
                <w:rFonts w:eastAsia="仿宋" w:cs="Times New Roman"/>
                <w:sz w:val="21"/>
                <w:szCs w:val="21"/>
              </w:rPr>
            </w:pPr>
          </w:p>
        </w:tc>
        <w:tc>
          <w:tcPr>
            <w:tcW w:w="732" w:type="dxa"/>
            <w:vMerge w:val="continue"/>
            <w:vAlign w:val="center"/>
          </w:tcPr>
          <w:p>
            <w:pPr>
              <w:pStyle w:val="45"/>
              <w:rPr>
                <w:rFonts w:eastAsia="仿宋" w:cs="Times New Roman"/>
                <w:sz w:val="21"/>
                <w:szCs w:val="21"/>
              </w:rPr>
            </w:pPr>
          </w:p>
        </w:tc>
        <w:tc>
          <w:tcPr>
            <w:tcW w:w="1276" w:type="dxa"/>
            <w:vAlign w:val="center"/>
          </w:tcPr>
          <w:p>
            <w:pPr>
              <w:pStyle w:val="45"/>
              <w:rPr>
                <w:rFonts w:eastAsia="仿宋" w:cs="Times New Roman"/>
                <w:sz w:val="21"/>
                <w:szCs w:val="21"/>
              </w:rPr>
            </w:pPr>
            <w:r>
              <w:rPr>
                <w:rFonts w:hint="eastAsia" w:eastAsia="仿宋" w:cs="Times New Roman"/>
                <w:sz w:val="21"/>
                <w:szCs w:val="21"/>
              </w:rPr>
              <w:t>观光船</w:t>
            </w:r>
          </w:p>
        </w:tc>
        <w:tc>
          <w:tcPr>
            <w:tcW w:w="709" w:type="dxa"/>
            <w:vAlign w:val="center"/>
          </w:tcPr>
          <w:p>
            <w:pPr>
              <w:pStyle w:val="45"/>
              <w:rPr>
                <w:rFonts w:eastAsia="仿宋" w:cs="Times New Roman"/>
                <w:sz w:val="21"/>
                <w:szCs w:val="21"/>
              </w:rPr>
            </w:pPr>
            <w:r>
              <w:rPr>
                <w:rFonts w:hint="eastAsia" w:eastAsia="仿宋" w:cs="Times New Roman"/>
                <w:sz w:val="21"/>
                <w:szCs w:val="21"/>
              </w:rPr>
              <w:t>艘</w:t>
            </w:r>
          </w:p>
        </w:tc>
        <w:tc>
          <w:tcPr>
            <w:tcW w:w="708" w:type="dxa"/>
            <w:vAlign w:val="center"/>
          </w:tcPr>
          <w:p>
            <w:pPr>
              <w:pStyle w:val="45"/>
              <w:rPr>
                <w:rFonts w:eastAsia="仿宋" w:cs="Times New Roman"/>
                <w:sz w:val="21"/>
                <w:szCs w:val="21"/>
              </w:rPr>
            </w:pPr>
            <w:r>
              <w:rPr>
                <w:rFonts w:eastAsia="仿宋" w:cs="Times New Roman"/>
                <w:sz w:val="21"/>
                <w:szCs w:val="21"/>
              </w:rPr>
              <w:t>6</w:t>
            </w:r>
          </w:p>
        </w:tc>
        <w:tc>
          <w:tcPr>
            <w:tcW w:w="2410" w:type="dxa"/>
            <w:vAlign w:val="center"/>
          </w:tcPr>
          <w:p>
            <w:pPr>
              <w:pStyle w:val="45"/>
              <w:rPr>
                <w:rFonts w:eastAsia="仿宋" w:cs="Times New Roman"/>
                <w:sz w:val="21"/>
                <w:szCs w:val="21"/>
              </w:rPr>
            </w:pPr>
          </w:p>
        </w:tc>
        <w:tc>
          <w:tcPr>
            <w:tcW w:w="709" w:type="dxa"/>
            <w:vAlign w:val="center"/>
          </w:tcPr>
          <w:p>
            <w:pPr>
              <w:pStyle w:val="45"/>
              <w:rPr>
                <w:rFonts w:eastAsia="仿宋" w:cs="Times New Roman"/>
                <w:sz w:val="21"/>
                <w:szCs w:val="21"/>
              </w:rPr>
            </w:pPr>
            <w:r>
              <w:rPr>
                <w:rFonts w:hint="eastAsia" w:eastAsia="仿宋" w:cs="Times New Roman"/>
                <w:sz w:val="21"/>
                <w:szCs w:val="21"/>
              </w:rPr>
              <w:t>√</w:t>
            </w:r>
          </w:p>
        </w:tc>
        <w:tc>
          <w:tcPr>
            <w:tcW w:w="686" w:type="dxa"/>
            <w:vAlign w:val="center"/>
          </w:tcPr>
          <w:p>
            <w:pPr>
              <w:pStyle w:val="45"/>
              <w:rPr>
                <w:rFonts w:eastAsia="仿宋" w:cs="Times New Roman"/>
                <w:sz w:val="21"/>
                <w:szCs w:val="21"/>
              </w:rPr>
            </w:pPr>
            <w:r>
              <w:rPr>
                <w:rFonts w:hint="eastAsia" w:eastAsia="仿宋" w:cs="Times New Roman"/>
                <w:sz w:val="21"/>
                <w:szCs w:val="21"/>
              </w:rPr>
              <w:t>√</w:t>
            </w:r>
          </w:p>
        </w:tc>
      </w:tr>
    </w:tbl>
    <w:p>
      <w:pPr>
        <w:pStyle w:val="4"/>
        <w:numPr>
          <w:ilvl w:val="0"/>
          <w:numId w:val="66"/>
        </w:numPr>
        <w:spacing w:after="395"/>
        <w:ind w:left="0" w:firstLine="0"/>
      </w:pPr>
      <w:bookmarkStart w:id="488" w:name="_Toc113925827"/>
      <w:bookmarkStart w:id="489" w:name="_Toc114084670"/>
      <w:bookmarkStart w:id="490" w:name="_Toc117114400"/>
      <w:bookmarkStart w:id="491" w:name="_Toc113925575"/>
      <w:bookmarkStart w:id="492" w:name="_Toc2089"/>
      <w:bookmarkStart w:id="493" w:name="_Toc16042"/>
      <w:r>
        <w:rPr>
          <w:rFonts w:hint="eastAsia"/>
        </w:rPr>
        <w:t>防御灾害规划</w:t>
      </w:r>
      <w:bookmarkEnd w:id="488"/>
      <w:bookmarkEnd w:id="489"/>
      <w:bookmarkEnd w:id="490"/>
      <w:bookmarkEnd w:id="491"/>
      <w:bookmarkEnd w:id="492"/>
      <w:bookmarkEnd w:id="493"/>
    </w:p>
    <w:p>
      <w:pPr>
        <w:pStyle w:val="5"/>
        <w:numPr>
          <w:ilvl w:val="1"/>
          <w:numId w:val="66"/>
        </w:numPr>
        <w:spacing w:before="197"/>
      </w:pPr>
      <w:bookmarkStart w:id="494" w:name="_Toc8248"/>
      <w:bookmarkStart w:id="495" w:name="_Toc32136"/>
      <w:bookmarkStart w:id="496" w:name="_Toc117114401"/>
      <w:bookmarkStart w:id="497" w:name="_Toc113925828"/>
      <w:bookmarkStart w:id="498" w:name="_Toc114084671"/>
      <w:bookmarkStart w:id="499" w:name="_Toc113925576"/>
      <w:r>
        <w:rPr>
          <w:rFonts w:hint="eastAsia"/>
        </w:rPr>
        <w:t>有害生物防治规划</w:t>
      </w:r>
      <w:bookmarkEnd w:id="494"/>
      <w:bookmarkEnd w:id="495"/>
      <w:bookmarkEnd w:id="496"/>
      <w:bookmarkEnd w:id="497"/>
      <w:bookmarkEnd w:id="498"/>
      <w:bookmarkEnd w:id="499"/>
    </w:p>
    <w:p>
      <w:pPr>
        <w:pStyle w:val="6"/>
        <w:numPr>
          <w:ilvl w:val="2"/>
          <w:numId w:val="66"/>
        </w:numPr>
      </w:pPr>
      <w:bookmarkStart w:id="500" w:name="_Toc113925577"/>
      <w:bookmarkStart w:id="501" w:name="_Toc113925829"/>
      <w:r>
        <w:rPr>
          <w:rFonts w:hint="eastAsia"/>
        </w:rPr>
        <w:t>现状</w:t>
      </w:r>
      <w:bookmarkEnd w:id="500"/>
      <w:bookmarkEnd w:id="501"/>
    </w:p>
    <w:p>
      <w:pPr>
        <w:widowControl/>
        <w:ind w:firstLine="560"/>
        <w:rPr>
          <w:rFonts w:cs="Times New Roman"/>
        </w:rPr>
      </w:pPr>
      <w:r>
        <w:rPr>
          <w:rFonts w:hint="eastAsia" w:cs="Times New Roman"/>
        </w:rPr>
        <w:t>仙阳湖国家湿地公园及周边地区常见的有害生物有十余种，如马尾松毛虫</w:t>
      </w:r>
      <w:r>
        <w:rPr>
          <w:rFonts w:hint="eastAsia" w:cs="Times New Roman"/>
          <w:lang w:eastAsia="zh-CN"/>
        </w:rPr>
        <w:t>（</w:t>
      </w:r>
      <w:r>
        <w:rPr>
          <w:rFonts w:cs="Times New Roman"/>
          <w:i/>
          <w:iCs/>
        </w:rPr>
        <w:t>Dendrolimus punctatus</w:t>
      </w:r>
      <w:r>
        <w:rPr>
          <w:rFonts w:hint="eastAsia" w:cs="Times New Roman"/>
          <w:lang w:eastAsia="zh-CN"/>
        </w:rPr>
        <w:t>）</w:t>
      </w:r>
      <w:r>
        <w:rPr>
          <w:rFonts w:hint="eastAsia" w:cs="Times New Roman"/>
        </w:rPr>
        <w:t>、黄脊竹蝗</w:t>
      </w:r>
      <w:r>
        <w:rPr>
          <w:rFonts w:hint="eastAsia" w:cs="Times New Roman"/>
          <w:lang w:eastAsia="zh-CN"/>
        </w:rPr>
        <w:t>（</w:t>
      </w:r>
      <w:r>
        <w:rPr>
          <w:rFonts w:cs="Times New Roman"/>
          <w:i/>
          <w:iCs/>
        </w:rPr>
        <w:t>Ceracris kiangsu</w:t>
      </w:r>
      <w:r>
        <w:rPr>
          <w:rFonts w:hint="eastAsia" w:cs="Times New Roman"/>
          <w:lang w:eastAsia="zh-CN"/>
        </w:rPr>
        <w:t>）</w:t>
      </w:r>
      <w:r>
        <w:rPr>
          <w:rFonts w:hint="eastAsia" w:cs="Times New Roman"/>
        </w:rPr>
        <w:t>、松褐天牛</w:t>
      </w:r>
      <w:r>
        <w:rPr>
          <w:rFonts w:hint="eastAsia" w:cs="Times New Roman"/>
          <w:lang w:eastAsia="zh-CN"/>
        </w:rPr>
        <w:t>（</w:t>
      </w:r>
      <w:r>
        <w:rPr>
          <w:rFonts w:cs="Times New Roman"/>
          <w:i/>
          <w:iCs/>
          <w:color w:val="000000"/>
          <w:kern w:val="0"/>
          <w:szCs w:val="28"/>
          <w:lang w:bidi="ar"/>
        </w:rPr>
        <w:t>Monochamus alternatus</w:t>
      </w:r>
      <w:r>
        <w:rPr>
          <w:rFonts w:hint="eastAsia" w:cs="Times New Roman"/>
          <w:lang w:eastAsia="zh-CN"/>
        </w:rPr>
        <w:t>）</w:t>
      </w:r>
      <w:r>
        <w:rPr>
          <w:rFonts w:hint="eastAsia" w:cs="Times New Roman"/>
          <w:color w:val="000000"/>
          <w:kern w:val="0"/>
          <w:szCs w:val="28"/>
          <w:lang w:bidi="ar"/>
        </w:rPr>
        <w:t>、</w:t>
      </w:r>
      <w:r>
        <w:rPr>
          <w:rFonts w:hint="eastAsia" w:cs="Times New Roman"/>
        </w:rPr>
        <w:t>凤眼莲（</w:t>
      </w:r>
      <w:r>
        <w:rPr>
          <w:rFonts w:cs="Times New Roman"/>
          <w:i/>
          <w:iCs/>
        </w:rPr>
        <w:t>Eichhornia crassipes</w:t>
      </w:r>
      <w:r>
        <w:rPr>
          <w:rFonts w:hint="eastAsia" w:cs="Times New Roman"/>
        </w:rPr>
        <w:t>）</w:t>
      </w:r>
      <w:r>
        <w:rPr>
          <w:rFonts w:hint="eastAsia" w:cs="Times New Roman"/>
          <w:i/>
          <w:iCs/>
        </w:rPr>
        <w:t>、</w:t>
      </w:r>
      <w:r>
        <w:rPr>
          <w:rFonts w:hint="eastAsia" w:cs="Times New Roman"/>
        </w:rPr>
        <w:t>喜旱莲子草（</w:t>
      </w:r>
      <w:r>
        <w:rPr>
          <w:rFonts w:cs="Times New Roman"/>
          <w:i/>
          <w:iCs/>
        </w:rPr>
        <w:t xml:space="preserve">Alternanthera philoxeroides </w:t>
      </w:r>
      <w:r>
        <w:rPr>
          <w:rFonts w:cs="Times New Roman"/>
          <w:i w:val="0"/>
          <w:iCs w:val="0"/>
        </w:rPr>
        <w:t>(Mart.) Griseb.</w:t>
      </w:r>
      <w:r>
        <w:rPr>
          <w:rFonts w:hint="eastAsia" w:cs="Times New Roman"/>
        </w:rPr>
        <w:t>）等，这些有害生物会对生态系统健康和农作物生长造成破坏，另有些外来物种生物，由于环境的改变使其泛滥性增长，侵犯了其他生物的生存环境，影响湿地公园的整体环境。</w:t>
      </w:r>
    </w:p>
    <w:p>
      <w:pPr>
        <w:ind w:firstLine="560"/>
        <w:rPr>
          <w:rFonts w:cs="Times New Roman"/>
        </w:rPr>
      </w:pPr>
      <w:r>
        <w:rPr>
          <w:rFonts w:hint="eastAsia" w:cs="Times New Roman"/>
        </w:rPr>
        <w:t>目前湿地公园所在地区的有害生物防治工作主要由石门县农业、林业部门承担，但存在技术力量不足，防治设备落后，防治体系不健全，防治经费欠缺等问题，部分有害生物繁殖、变异速度快，难以防治，加上一些有害生物的天敌种群数量少等诸多因素，导致有害生物的防治工作依然比较困难。</w:t>
      </w:r>
      <w:r>
        <w:rPr>
          <w:rFonts w:cs="Times New Roman"/>
          <w:color w:val="000000"/>
          <w:kern w:val="0"/>
          <w:szCs w:val="28"/>
          <w:lang w:bidi="ar"/>
        </w:rPr>
        <w:t xml:space="preserve"> </w:t>
      </w:r>
    </w:p>
    <w:p>
      <w:pPr>
        <w:pStyle w:val="6"/>
        <w:numPr>
          <w:ilvl w:val="2"/>
          <w:numId w:val="66"/>
        </w:numPr>
      </w:pPr>
      <w:bookmarkStart w:id="502" w:name="_Toc113925830"/>
      <w:bookmarkStart w:id="503" w:name="_Toc113925578"/>
      <w:r>
        <w:rPr>
          <w:rFonts w:hint="eastAsia"/>
        </w:rPr>
        <w:t>建设思路</w:t>
      </w:r>
      <w:bookmarkEnd w:id="502"/>
      <w:bookmarkEnd w:id="503"/>
    </w:p>
    <w:p>
      <w:pPr>
        <w:ind w:firstLine="560"/>
        <w:rPr>
          <w:rFonts w:cs="Times New Roman"/>
        </w:rPr>
      </w:pPr>
      <w:r>
        <w:rPr>
          <w:rFonts w:hint="eastAsia" w:cs="Times New Roman"/>
        </w:rPr>
        <w:t>（1）基本思路</w:t>
      </w:r>
    </w:p>
    <w:p>
      <w:pPr>
        <w:ind w:firstLine="560"/>
        <w:rPr>
          <w:rFonts w:cs="Times New Roman"/>
        </w:rPr>
      </w:pPr>
      <w:r>
        <w:rPr>
          <w:rFonts w:hint="eastAsia" w:cs="Times New Roman"/>
        </w:rPr>
        <w:t>全面贯</w:t>
      </w:r>
      <w:r>
        <w:rPr>
          <w:rFonts w:hint="eastAsia" w:ascii="仿宋" w:hAnsi="仿宋" w:cs="仿宋"/>
        </w:rPr>
        <w:t>彻“预防为主，科学治理，依法监管，强化责任”的</w:t>
      </w:r>
      <w:r>
        <w:rPr>
          <w:rFonts w:hint="eastAsia" w:cs="Times New Roman"/>
        </w:rPr>
        <w:t>方针，建立健全监测网络，采用生物防治的主要措施，维护生物多样性和湿地生态安全，促进湿地公园的可持续发展。</w:t>
      </w:r>
    </w:p>
    <w:p>
      <w:pPr>
        <w:ind w:firstLine="560"/>
        <w:rPr>
          <w:rFonts w:cs="Times New Roman"/>
        </w:rPr>
      </w:pPr>
      <w:r>
        <w:rPr>
          <w:rFonts w:hint="eastAsia" w:cs="Times New Roman"/>
        </w:rPr>
        <w:t>（2）规划目标</w:t>
      </w:r>
    </w:p>
    <w:p>
      <w:pPr>
        <w:ind w:firstLine="560"/>
        <w:rPr>
          <w:rFonts w:cs="Times New Roman"/>
        </w:rPr>
      </w:pPr>
      <w:r>
        <w:rPr>
          <w:rFonts w:hint="eastAsia" w:cs="Times New Roman"/>
        </w:rPr>
        <w:t>有害生物监控率100%，灾害面积控制率5‰以下。</w:t>
      </w:r>
    </w:p>
    <w:p>
      <w:pPr>
        <w:pStyle w:val="6"/>
        <w:numPr>
          <w:ilvl w:val="2"/>
          <w:numId w:val="66"/>
        </w:numPr>
      </w:pPr>
      <w:bookmarkStart w:id="504" w:name="_Toc113925579"/>
      <w:bookmarkStart w:id="505" w:name="_Toc113925831"/>
      <w:r>
        <w:rPr>
          <w:rFonts w:hint="eastAsia"/>
        </w:rPr>
        <w:t>建设内容</w:t>
      </w:r>
      <w:bookmarkEnd w:id="504"/>
      <w:bookmarkEnd w:id="505"/>
    </w:p>
    <w:p>
      <w:pPr>
        <w:ind w:firstLine="560"/>
        <w:rPr>
          <w:rFonts w:cs="Times New Roman"/>
        </w:rPr>
      </w:pPr>
      <w:r>
        <w:rPr>
          <w:rFonts w:hint="eastAsia" w:cs="Times New Roman"/>
        </w:rPr>
        <w:t>（1）建立有害生物防治检疫站</w:t>
      </w:r>
    </w:p>
    <w:p>
      <w:pPr>
        <w:ind w:firstLine="560"/>
        <w:rPr>
          <w:rFonts w:cs="Times New Roman"/>
        </w:rPr>
      </w:pPr>
      <w:r>
        <w:rPr>
          <w:rFonts w:hint="eastAsia" w:cs="Times New Roman"/>
        </w:rPr>
        <w:t>规划在湿地公园管理处内设置有害生物防治检疫站，内设实验室、标本室、资料档案室、药品库，配备外来有害物种防治检疫设备</w:t>
      </w:r>
      <w:r>
        <w:rPr>
          <w:rFonts w:cs="Times New Roman"/>
        </w:rPr>
        <w:t>1</w:t>
      </w:r>
      <w:r>
        <w:rPr>
          <w:rFonts w:hint="eastAsia" w:cs="Times New Roman"/>
        </w:rPr>
        <w:t>套、检疫防治车辆</w:t>
      </w:r>
      <w:r>
        <w:rPr>
          <w:rFonts w:cs="Times New Roman"/>
        </w:rPr>
        <w:t>1</w:t>
      </w:r>
      <w:r>
        <w:rPr>
          <w:rFonts w:hint="eastAsia" w:cs="Times New Roman"/>
        </w:rPr>
        <w:t>辆。</w:t>
      </w:r>
    </w:p>
    <w:p>
      <w:pPr>
        <w:ind w:firstLine="560"/>
        <w:rPr>
          <w:rFonts w:cs="Times New Roman"/>
        </w:rPr>
      </w:pPr>
      <w:r>
        <w:rPr>
          <w:rFonts w:hint="eastAsia" w:cs="Times New Roman"/>
        </w:rPr>
        <w:t>（</w:t>
      </w:r>
      <w:r>
        <w:rPr>
          <w:rFonts w:cs="Times New Roman"/>
        </w:rPr>
        <w:t>2</w:t>
      </w:r>
      <w:r>
        <w:rPr>
          <w:rFonts w:hint="eastAsia" w:cs="Times New Roman"/>
        </w:rPr>
        <w:t xml:space="preserve">）健全监测网络，加强信息管理 </w:t>
      </w:r>
    </w:p>
    <w:p>
      <w:pPr>
        <w:ind w:firstLine="560"/>
        <w:rPr>
          <w:rFonts w:cs="Times New Roman"/>
        </w:rPr>
      </w:pPr>
      <w:r>
        <w:rPr>
          <w:rFonts w:hint="eastAsia" w:cs="Times New Roman"/>
        </w:rPr>
        <w:t xml:space="preserve">采用计算机、遥感等先进的监测手段，并与当地林业森防站建立协作关系，准确的预测各类有害生物的发生期、数量及危害程度等各项指标，实时更新与完善监测网络。完善有害生物日常监测、管理制度，及时发现有害生物，准确地发布有害生物预报，科学地指导有害生物防治，阻止其入侵和蔓延。并利用报纸、广播、网络等媒体以及会议、科技下乡、宣传车、发放宣传资料等宣传方式，提高广大群众知晓率，积极营造群防群治的良好氛围。 </w:t>
      </w:r>
    </w:p>
    <w:p>
      <w:pPr>
        <w:ind w:firstLine="560"/>
        <w:rPr>
          <w:rFonts w:cs="Times New Roman"/>
        </w:rPr>
      </w:pPr>
      <w:r>
        <w:rPr>
          <w:rFonts w:hint="eastAsia" w:cs="Times New Roman"/>
        </w:rPr>
        <w:t>（</w:t>
      </w:r>
      <w:r>
        <w:rPr>
          <w:rFonts w:cs="Times New Roman"/>
        </w:rPr>
        <w:t>3</w:t>
      </w:r>
      <w:r>
        <w:rPr>
          <w:rFonts w:hint="eastAsia" w:cs="Times New Roman"/>
        </w:rPr>
        <w:t xml:space="preserve">）建立有害生物监测预警、检疫防治、应急预案 </w:t>
      </w:r>
    </w:p>
    <w:p>
      <w:pPr>
        <w:ind w:firstLine="560"/>
        <w:rPr>
          <w:rFonts w:cs="Times New Roman"/>
        </w:rPr>
      </w:pPr>
      <w:r>
        <w:rPr>
          <w:rFonts w:hint="eastAsia" w:cs="Times New Roman"/>
        </w:rPr>
        <w:t>制订有害生物监测预警、检疫防治、应急预案，根据有害生物的生物学特性，采取物理防治、化学防治、生物防治、生态防治措施，将防治、检疫工作纳入法制化、科学化和规范化轨道，不断提高林木有害生物防治检疫的快速反应和应急处理能力，做到有效预防、及时控制，逐步实现有害生物的可控性。</w:t>
      </w:r>
    </w:p>
    <w:p>
      <w:pPr>
        <w:ind w:firstLine="560"/>
        <w:rPr>
          <w:rFonts w:cs="Times New Roman"/>
        </w:rPr>
      </w:pPr>
      <w:r>
        <w:rPr>
          <w:rFonts w:hint="eastAsia" w:cs="Times New Roman"/>
        </w:rPr>
        <w:t xml:space="preserve">（4）外来入侵物种清理 </w:t>
      </w:r>
    </w:p>
    <w:p>
      <w:pPr>
        <w:ind w:firstLine="560"/>
        <w:rPr>
          <w:rFonts w:cs="Times New Roman"/>
        </w:rPr>
      </w:pPr>
      <w:r>
        <w:rPr>
          <w:rFonts w:hint="eastAsia" w:cs="Times New Roman"/>
        </w:rPr>
        <w:t>针对湿地公园现有的外来入侵物种，规划采用物理清除的方式控制其蔓延，直至完全清除为止。</w:t>
      </w:r>
    </w:p>
    <w:p>
      <w:pPr>
        <w:pStyle w:val="5"/>
        <w:numPr>
          <w:ilvl w:val="1"/>
          <w:numId w:val="66"/>
        </w:numPr>
        <w:spacing w:before="197"/>
      </w:pPr>
      <w:bookmarkStart w:id="506" w:name="_Toc10937"/>
      <w:bookmarkStart w:id="507" w:name="_Toc114084672"/>
      <w:bookmarkStart w:id="508" w:name="_Toc117114402"/>
      <w:bookmarkStart w:id="509" w:name="_Toc11039"/>
      <w:bookmarkStart w:id="510" w:name="_Toc113925580"/>
      <w:bookmarkStart w:id="511" w:name="_Toc113925832"/>
      <w:r>
        <w:rPr>
          <w:rFonts w:hint="eastAsia"/>
        </w:rPr>
        <w:t>地质灾害防治规划</w:t>
      </w:r>
      <w:bookmarkEnd w:id="506"/>
      <w:bookmarkEnd w:id="507"/>
      <w:bookmarkEnd w:id="508"/>
      <w:bookmarkEnd w:id="509"/>
      <w:bookmarkEnd w:id="510"/>
      <w:bookmarkEnd w:id="511"/>
    </w:p>
    <w:p>
      <w:pPr>
        <w:pStyle w:val="6"/>
        <w:numPr>
          <w:ilvl w:val="2"/>
          <w:numId w:val="70"/>
        </w:numPr>
      </w:pPr>
      <w:bookmarkStart w:id="512" w:name="_Toc113925833"/>
      <w:bookmarkStart w:id="513" w:name="_Toc113925581"/>
      <w:r>
        <w:rPr>
          <w:rFonts w:hint="eastAsia"/>
        </w:rPr>
        <w:t>现状</w:t>
      </w:r>
      <w:bookmarkEnd w:id="512"/>
      <w:bookmarkEnd w:id="513"/>
    </w:p>
    <w:p>
      <w:pPr>
        <w:ind w:firstLine="560"/>
        <w:rPr>
          <w:rFonts w:cs="Times New Roman"/>
        </w:rPr>
      </w:pPr>
      <w:r>
        <w:rPr>
          <w:rFonts w:hint="eastAsia" w:cs="Times New Roman"/>
        </w:rPr>
        <w:t>根据《石门县地质灾害防治规划（2021-2025年）》，石门县地质灾害类型主要有滑坡、崩塌、泥石流、地面塌陷、不稳定斜坡及地裂缝等。湿地公园内部及其周边区域地质灾害类型主要有滑坡和不稳定斜坡。</w:t>
      </w:r>
    </w:p>
    <w:p>
      <w:pPr>
        <w:pStyle w:val="6"/>
        <w:numPr>
          <w:ilvl w:val="2"/>
          <w:numId w:val="70"/>
        </w:numPr>
      </w:pPr>
      <w:bookmarkStart w:id="514" w:name="_Toc113925582"/>
      <w:bookmarkStart w:id="515" w:name="_Toc113925834"/>
      <w:r>
        <w:rPr>
          <w:rFonts w:hint="eastAsia"/>
        </w:rPr>
        <w:t>建设思路</w:t>
      </w:r>
      <w:bookmarkEnd w:id="514"/>
      <w:bookmarkEnd w:id="515"/>
    </w:p>
    <w:p>
      <w:pPr>
        <w:ind w:firstLine="560"/>
        <w:rPr>
          <w:rFonts w:cs="Times New Roman"/>
        </w:rPr>
      </w:pPr>
      <w:r>
        <w:rPr>
          <w:rFonts w:hint="eastAsia" w:cs="Times New Roman"/>
        </w:rPr>
        <w:t>坚持预防为主，防治结合，全面规划，突出重点，属地管理，分级负责的原则。科学运用多种手段和措施，有效规避灾害风险。</w:t>
      </w:r>
    </w:p>
    <w:p>
      <w:pPr>
        <w:pStyle w:val="6"/>
        <w:numPr>
          <w:ilvl w:val="2"/>
          <w:numId w:val="70"/>
        </w:numPr>
      </w:pPr>
      <w:bookmarkStart w:id="516" w:name="_Toc113925835"/>
      <w:bookmarkStart w:id="517" w:name="_Toc113925583"/>
      <w:r>
        <w:rPr>
          <w:rFonts w:hint="eastAsia"/>
        </w:rPr>
        <w:t>建设内容</w:t>
      </w:r>
      <w:bookmarkEnd w:id="516"/>
      <w:bookmarkEnd w:id="517"/>
    </w:p>
    <w:p>
      <w:pPr>
        <w:ind w:firstLine="560"/>
        <w:rPr>
          <w:rFonts w:cs="Times New Roman"/>
        </w:rPr>
      </w:pPr>
      <w:r>
        <w:rPr>
          <w:rFonts w:hint="eastAsia" w:cs="Times New Roman"/>
        </w:rPr>
        <w:t xml:space="preserve">（1）绘制公园地质灾害分布图，制定预防方案 </w:t>
      </w:r>
    </w:p>
    <w:p>
      <w:pPr>
        <w:ind w:firstLine="560"/>
        <w:rPr>
          <w:rFonts w:cs="Times New Roman"/>
        </w:rPr>
      </w:pPr>
      <w:r>
        <w:rPr>
          <w:rFonts w:hint="eastAsia" w:cs="Times New Roman"/>
        </w:rPr>
        <w:t xml:space="preserve">根据石门地质灾害发生特点，结合湿地公园的实际情况，组织开展湿地公园的地质灾害调查，进一步弄清湿地公园内的地质灾害分布状况，绘制地质灾害分布图，并在地质灾害易发区及危险地段设置警示牌。根据地质灾害分布图及发生规律，拟定年度防治方案及突发性地质灾害应急预案，制定地质灾害防治措施。 </w:t>
      </w:r>
    </w:p>
    <w:p>
      <w:pPr>
        <w:ind w:firstLine="560"/>
        <w:rPr>
          <w:rFonts w:cs="Times New Roman"/>
        </w:rPr>
      </w:pPr>
      <w:r>
        <w:rPr>
          <w:rFonts w:hint="eastAsia" w:cs="Times New Roman"/>
        </w:rPr>
        <w:t>（</w:t>
      </w:r>
      <w:r>
        <w:rPr>
          <w:rFonts w:cs="Times New Roman"/>
        </w:rPr>
        <w:t>2</w:t>
      </w:r>
      <w:r>
        <w:rPr>
          <w:rFonts w:hint="eastAsia" w:cs="Times New Roman"/>
        </w:rPr>
        <w:t xml:space="preserve">）建立地质灾害监测网络和预警信息系统 </w:t>
      </w:r>
    </w:p>
    <w:p>
      <w:pPr>
        <w:ind w:firstLine="560"/>
        <w:rPr>
          <w:rFonts w:cs="Times New Roman"/>
        </w:rPr>
      </w:pPr>
      <w:r>
        <w:rPr>
          <w:rFonts w:hint="eastAsia" w:cs="Times New Roman"/>
        </w:rPr>
        <w:t>每年汛期前汛期中和汛期后对重要地质灾害隐患点进行巡查、排查和复查，重点巡查地质灾害重大隐患和易发区段，核查险情发展趋势，保证监测设备运行良好、警示标志完整醒目，落实群测群防责任，更新地质灾害基础数据库，确保监测预警工作有效落实。</w:t>
      </w:r>
    </w:p>
    <w:p>
      <w:pPr>
        <w:pStyle w:val="5"/>
        <w:numPr>
          <w:ilvl w:val="1"/>
          <w:numId w:val="70"/>
        </w:numPr>
        <w:spacing w:before="197"/>
      </w:pPr>
      <w:bookmarkStart w:id="518" w:name="_Toc24677"/>
      <w:bookmarkStart w:id="519" w:name="_Toc117114403"/>
      <w:bookmarkStart w:id="520" w:name="_Toc114084673"/>
      <w:bookmarkStart w:id="521" w:name="_Toc113925584"/>
      <w:bookmarkStart w:id="522" w:name="_Toc113925836"/>
      <w:bookmarkStart w:id="523" w:name="_Toc3113"/>
      <w:r>
        <w:rPr>
          <w:rFonts w:hint="eastAsia"/>
        </w:rPr>
        <w:t>洪涝防治规划</w:t>
      </w:r>
      <w:bookmarkEnd w:id="518"/>
      <w:bookmarkEnd w:id="519"/>
      <w:bookmarkEnd w:id="520"/>
      <w:bookmarkEnd w:id="521"/>
      <w:bookmarkEnd w:id="522"/>
      <w:bookmarkEnd w:id="523"/>
    </w:p>
    <w:p>
      <w:pPr>
        <w:pStyle w:val="6"/>
        <w:numPr>
          <w:ilvl w:val="2"/>
          <w:numId w:val="71"/>
        </w:numPr>
      </w:pPr>
      <w:bookmarkStart w:id="524" w:name="_Toc113925585"/>
      <w:bookmarkStart w:id="525" w:name="_Toc113925837"/>
      <w:r>
        <w:rPr>
          <w:rFonts w:hint="eastAsia"/>
        </w:rPr>
        <w:t>现状</w:t>
      </w:r>
      <w:bookmarkEnd w:id="524"/>
      <w:bookmarkEnd w:id="525"/>
    </w:p>
    <w:p>
      <w:pPr>
        <w:ind w:firstLine="560"/>
        <w:rPr>
          <w:rFonts w:cs="Times New Roman"/>
        </w:rPr>
      </w:pPr>
      <w:r>
        <w:rPr>
          <w:rFonts w:hint="eastAsia" w:cs="Times New Roman"/>
        </w:rPr>
        <w:t>石门县属于属中亚热带向亚热带过渡的季风气候区，降水量多，暴雨多，雨日多，且分布不均。据县气象站23年气象资料统计，年均降水量1269～2093mm，雨日120天～200天；暴雨1～13天，主要发生在4～9月，占全年暴雨量49％。汛期一般发生在每年的4-9月，山区雨季暴雨等气象灾害可能造成洪涝、山洪、泥石流、山体滑坡等气象次生灾害。</w:t>
      </w:r>
    </w:p>
    <w:p>
      <w:pPr>
        <w:pStyle w:val="6"/>
        <w:numPr>
          <w:ilvl w:val="2"/>
          <w:numId w:val="71"/>
        </w:numPr>
      </w:pPr>
      <w:bookmarkStart w:id="526" w:name="_Toc113925586"/>
      <w:bookmarkStart w:id="527" w:name="_Toc113925838"/>
      <w:r>
        <w:rPr>
          <w:rFonts w:hint="eastAsia"/>
        </w:rPr>
        <w:t>建设思路</w:t>
      </w:r>
      <w:bookmarkEnd w:id="526"/>
      <w:bookmarkEnd w:id="527"/>
    </w:p>
    <w:p>
      <w:pPr>
        <w:ind w:firstLine="560"/>
        <w:rPr>
          <w:rFonts w:cs="Times New Roman"/>
        </w:rPr>
      </w:pPr>
      <w:r>
        <w:rPr>
          <w:rFonts w:hint="eastAsia" w:cs="Times New Roman"/>
        </w:rPr>
        <w:t>综合考虑湿地公园所处的地理位置、地形地貌、水文条件、以及洪涝灾害发生的特征等因素，</w:t>
      </w:r>
      <w:r>
        <w:rPr>
          <w:rFonts w:hint="eastAsia" w:ascii="仿宋" w:hAnsi="仿宋" w:cs="仿宋"/>
        </w:rPr>
        <w:t>坚持“全面规划、综合治理、以防为主、防治结合”的方针，根</w:t>
      </w:r>
      <w:r>
        <w:rPr>
          <w:rFonts w:hint="eastAsia" w:cs="Times New Roman"/>
        </w:rPr>
        <w:t xml:space="preserve">据控制水土流失、以泄为主的原则，指导湿地公园的洪涝灾害防治工作。从而促进湿地公园及周边水系连通、河道畅通、水库防洪抗旱能力进一步加强，保障区域社会经济发展和人民生命安全，避免或减轻人民财产损失。 </w:t>
      </w:r>
    </w:p>
    <w:p>
      <w:pPr>
        <w:pStyle w:val="6"/>
        <w:numPr>
          <w:ilvl w:val="2"/>
          <w:numId w:val="71"/>
        </w:numPr>
      </w:pPr>
      <w:bookmarkStart w:id="528" w:name="_Toc113925587"/>
      <w:bookmarkStart w:id="529" w:name="_Toc113925839"/>
      <w:r>
        <w:rPr>
          <w:rFonts w:hint="eastAsia"/>
        </w:rPr>
        <w:t>建设内容</w:t>
      </w:r>
      <w:bookmarkEnd w:id="528"/>
      <w:bookmarkEnd w:id="529"/>
    </w:p>
    <w:p>
      <w:pPr>
        <w:ind w:firstLine="560"/>
        <w:rPr>
          <w:rFonts w:cs="Times New Roman"/>
        </w:rPr>
      </w:pPr>
      <w:r>
        <w:rPr>
          <w:rFonts w:hint="eastAsia" w:cs="Times New Roman"/>
        </w:rPr>
        <w:t xml:space="preserve">（1）建立山洪预警机制 </w:t>
      </w:r>
    </w:p>
    <w:p>
      <w:pPr>
        <w:ind w:firstLine="560"/>
        <w:rPr>
          <w:rFonts w:hint="eastAsia" w:cs="Times New Roman"/>
        </w:rPr>
      </w:pPr>
      <w:r>
        <w:rPr>
          <w:rFonts w:hint="eastAsia" w:cs="Times New Roman"/>
        </w:rPr>
        <w:t xml:space="preserve">结合暴雨预报，建立湿地公园自身的洪涝灾害防治工作体系，防汛抢险的应急体系。完善监控监测预警系统，做好湿地公园汛期、天气的科学预报与滞洪区的合理规划，减轻洪涝灾害的损失。 </w:t>
      </w:r>
    </w:p>
    <w:p>
      <w:pPr>
        <w:ind w:firstLine="560"/>
        <w:rPr>
          <w:rFonts w:cs="Times New Roman"/>
        </w:rPr>
      </w:pPr>
      <w:r>
        <w:rPr>
          <w:rFonts w:hint="eastAsia" w:cs="Times New Roman"/>
        </w:rPr>
        <w:t>（</w:t>
      </w:r>
      <w:r>
        <w:rPr>
          <w:rFonts w:cs="Times New Roman"/>
        </w:rPr>
        <w:t>2</w:t>
      </w:r>
      <w:r>
        <w:rPr>
          <w:rFonts w:hint="eastAsia" w:cs="Times New Roman"/>
        </w:rPr>
        <w:t xml:space="preserve">）加强流域植被恢复和防洪设施建设 </w:t>
      </w:r>
    </w:p>
    <w:p>
      <w:pPr>
        <w:ind w:firstLine="560"/>
        <w:rPr>
          <w:rFonts w:cs="Times New Roman"/>
        </w:rPr>
      </w:pPr>
      <w:r>
        <w:rPr>
          <w:rFonts w:hint="eastAsia" w:cs="Times New Roman"/>
        </w:rPr>
        <w:t>针对湿地公园沿岸的生态脆弱地带，补植乡土树种，增加森林面积，提高森林质量，改善区域生态环境，增强森林保持水土、涵养水源、防洪抗灾等生态功能。</w:t>
      </w:r>
      <w:r>
        <w:rPr>
          <w:rFonts w:hint="eastAsia" w:cs="Times New Roman"/>
          <w:highlight w:val="none"/>
        </w:rPr>
        <w:t>同时结合</w:t>
      </w:r>
      <w:r>
        <w:rPr>
          <w:rFonts w:hint="eastAsia" w:cs="Times New Roman"/>
          <w:szCs w:val="28"/>
          <w:highlight w:val="none"/>
        </w:rPr>
        <w:t>澧</w:t>
      </w:r>
      <w:r>
        <w:rPr>
          <w:rFonts w:hint="eastAsia" w:cs="Times New Roman"/>
          <w:highlight w:val="none"/>
        </w:rPr>
        <w:t>水流域治理工作</w:t>
      </w:r>
      <w:r>
        <w:rPr>
          <w:rFonts w:hint="eastAsia" w:cs="Times New Roman"/>
        </w:rPr>
        <w:t>，加强对公园的河道、堤防、排洪渠道、泄洪区的修缮与建设，提高全园水域防洪工程标准。</w:t>
      </w:r>
    </w:p>
    <w:p>
      <w:pPr>
        <w:ind w:firstLine="560"/>
        <w:rPr>
          <w:rFonts w:cs="Times New Roman"/>
        </w:rPr>
      </w:pPr>
      <w:r>
        <w:rPr>
          <w:rFonts w:hint="eastAsia" w:cs="Times New Roman"/>
        </w:rPr>
        <w:t>（3）加强水系连通</w:t>
      </w:r>
    </w:p>
    <w:p>
      <w:pPr>
        <w:ind w:firstLine="560"/>
        <w:rPr>
          <w:rFonts w:cs="Times New Roman"/>
        </w:rPr>
      </w:pPr>
      <w:r>
        <w:rPr>
          <w:rFonts w:hint="eastAsia" w:cs="Times New Roman"/>
        </w:rPr>
        <w:t>在湿地公园部分河段，由于常年泥沙冲积和泥石流等自然灾害造成局部堰塞，导致水系阻隔，不但破坏了底栖生物的生存环境，也严重威胁河道堤防安全和防汛安全。规划必要的河道疏浚工程，进行水系连通，确保水流通畅。（详见第6章第2节）</w:t>
      </w:r>
    </w:p>
    <w:p>
      <w:pPr>
        <w:ind w:firstLine="560"/>
        <w:rPr>
          <w:rFonts w:cs="Times New Roman"/>
        </w:rPr>
      </w:pPr>
      <w:r>
        <w:rPr>
          <w:rFonts w:hint="eastAsia" w:cs="Times New Roman"/>
        </w:rPr>
        <w:t>（4）加强相关单位协作共管</w:t>
      </w:r>
    </w:p>
    <w:p>
      <w:pPr>
        <w:ind w:firstLine="560"/>
        <w:rPr>
          <w:rFonts w:cs="Times New Roman"/>
        </w:rPr>
      </w:pPr>
      <w:r>
        <w:rPr>
          <w:rFonts w:hint="eastAsia" w:cs="Times New Roman"/>
        </w:rPr>
        <w:t>皂市水利枢纽是澧水流域中一项以防洪为主，兼顾</w:t>
      </w:r>
      <w:r>
        <w:rPr>
          <w:rFonts w:hint="eastAsia" w:cs="Times New Roman"/>
          <w:szCs w:val="28"/>
        </w:rPr>
        <w:t>发电、灌溉、航运、旅游等</w:t>
      </w:r>
      <w:r>
        <w:rPr>
          <w:rFonts w:hint="eastAsia" w:cs="Times New Roman"/>
        </w:rPr>
        <w:t>综合效益的骨干防洪工程，是澧水流域的重要防洪工程。湿地公园须加强与皂市水电站的协作，共同做好洪涝防治工作。</w:t>
      </w:r>
    </w:p>
    <w:p>
      <w:pPr>
        <w:ind w:firstLine="560"/>
        <w:rPr>
          <w:rFonts w:cs="Times New Roman"/>
        </w:rPr>
      </w:pPr>
      <w:r>
        <w:rPr>
          <w:rFonts w:hint="eastAsia" w:cs="Times New Roman"/>
        </w:rPr>
        <w:t xml:space="preserve">（5）进一步加强宣传培训力度 </w:t>
      </w:r>
    </w:p>
    <w:p>
      <w:pPr>
        <w:ind w:firstLine="560"/>
        <w:rPr>
          <w:rFonts w:cs="Times New Roman"/>
        </w:rPr>
      </w:pPr>
      <w:r>
        <w:rPr>
          <w:rFonts w:hint="eastAsia" w:cs="Times New Roman"/>
        </w:rPr>
        <w:t>针对周边区域群测群防体系建设的薄弱环节，印刷《洪涝灾害防御知识宣传手册》3500册，规划制作洪涝灾害防治宣传栏20块，用以提高人们主动防范、依法防灾的自觉性，提升人们的自救意识和自救能力。</w:t>
      </w:r>
    </w:p>
    <w:p>
      <w:pPr>
        <w:pStyle w:val="5"/>
        <w:numPr>
          <w:ilvl w:val="1"/>
          <w:numId w:val="71"/>
        </w:numPr>
        <w:spacing w:before="197"/>
      </w:pPr>
      <w:bookmarkStart w:id="530" w:name="_Toc113925588"/>
      <w:bookmarkStart w:id="531" w:name="_Toc117114404"/>
      <w:bookmarkStart w:id="532" w:name="_Toc14851"/>
      <w:bookmarkStart w:id="533" w:name="_Toc113925840"/>
      <w:bookmarkStart w:id="534" w:name="_Toc114084674"/>
      <w:bookmarkStart w:id="535" w:name="_Toc20625"/>
      <w:r>
        <w:rPr>
          <w:rFonts w:hint="eastAsia"/>
        </w:rPr>
        <w:t>防火规划</w:t>
      </w:r>
      <w:bookmarkEnd w:id="530"/>
      <w:bookmarkEnd w:id="531"/>
      <w:bookmarkEnd w:id="532"/>
      <w:bookmarkEnd w:id="533"/>
      <w:bookmarkEnd w:id="534"/>
      <w:bookmarkEnd w:id="535"/>
    </w:p>
    <w:p>
      <w:pPr>
        <w:pStyle w:val="6"/>
        <w:numPr>
          <w:ilvl w:val="2"/>
          <w:numId w:val="72"/>
        </w:numPr>
      </w:pPr>
      <w:bookmarkStart w:id="536" w:name="_Toc113925589"/>
      <w:bookmarkStart w:id="537" w:name="_Toc113925841"/>
      <w:r>
        <w:rPr>
          <w:rFonts w:hint="eastAsia"/>
        </w:rPr>
        <w:t>现状</w:t>
      </w:r>
      <w:bookmarkEnd w:id="536"/>
      <w:bookmarkEnd w:id="537"/>
    </w:p>
    <w:p>
      <w:pPr>
        <w:ind w:firstLine="560"/>
        <w:rPr>
          <w:rFonts w:cs="Times New Roman"/>
        </w:rPr>
      </w:pPr>
      <w:r>
        <w:rPr>
          <w:rFonts w:hint="eastAsia" w:cs="Times New Roman"/>
        </w:rPr>
        <w:t>湿地公园主体区域是水域，园内无居民定居，且在试点建设期内没有发生火警火灾。湿地公园现有林地</w:t>
      </w:r>
      <w:r>
        <w:rPr>
          <w:rFonts w:cs="Times New Roman"/>
        </w:rPr>
        <w:t>4224.55</w:t>
      </w:r>
      <w:r>
        <w:rPr>
          <w:rFonts w:hint="eastAsia" w:cs="Times New Roman"/>
        </w:rPr>
        <w:t>公顷，临近镇区，周边居民生活生产活动较多，应加强该区域及周边地区的消防设施设备和联运防控能力。</w:t>
      </w:r>
    </w:p>
    <w:p>
      <w:pPr>
        <w:pStyle w:val="6"/>
        <w:numPr>
          <w:ilvl w:val="2"/>
          <w:numId w:val="72"/>
        </w:numPr>
      </w:pPr>
      <w:bookmarkStart w:id="538" w:name="_Toc113925842"/>
      <w:bookmarkStart w:id="539" w:name="_Toc113925590"/>
      <w:r>
        <w:rPr>
          <w:rFonts w:hint="eastAsia"/>
        </w:rPr>
        <w:t>建设思路</w:t>
      </w:r>
      <w:bookmarkEnd w:id="538"/>
      <w:bookmarkEnd w:id="539"/>
    </w:p>
    <w:p>
      <w:pPr>
        <w:widowControl/>
        <w:ind w:firstLine="560"/>
        <w:jc w:val="left"/>
        <w:rPr>
          <w:rFonts w:cs="Times New Roman"/>
        </w:rPr>
      </w:pPr>
      <w:r>
        <w:rPr>
          <w:rFonts w:cs="Times New Roman"/>
          <w:lang w:bidi="ar"/>
        </w:rPr>
        <w:t>（1</w:t>
      </w:r>
      <w:r>
        <w:rPr>
          <w:rFonts w:hint="eastAsia" w:cs="Times New Roman"/>
          <w:lang w:bidi="ar"/>
        </w:rPr>
        <w:t>）基本思路</w:t>
      </w:r>
    </w:p>
    <w:p>
      <w:pPr>
        <w:ind w:firstLine="560"/>
        <w:rPr>
          <w:rFonts w:cs="Times New Roman"/>
        </w:rPr>
      </w:pPr>
      <w:r>
        <w:rPr>
          <w:rFonts w:hint="eastAsia" w:cs="Times New Roman"/>
        </w:rPr>
        <w:t>认真贯</w:t>
      </w:r>
      <w:r>
        <w:rPr>
          <w:rFonts w:hint="eastAsia" w:ascii="仿宋" w:hAnsi="仿宋" w:cs="仿宋"/>
        </w:rPr>
        <w:t>彻“预防为主，积极消灭”方针</w:t>
      </w:r>
      <w:r>
        <w:rPr>
          <w:rFonts w:hint="eastAsia" w:cs="Times New Roman"/>
        </w:rPr>
        <w:t>，增强防火监控设施体系，配备防火器材，建立防火队伍，加强旅游景点防灾的综合能力，形成有效的防火体系。</w:t>
      </w:r>
    </w:p>
    <w:p>
      <w:pPr>
        <w:ind w:firstLine="560"/>
        <w:rPr>
          <w:rFonts w:cs="Times New Roman"/>
        </w:rPr>
      </w:pPr>
      <w:r>
        <w:rPr>
          <w:rFonts w:hint="eastAsia" w:cs="Times New Roman"/>
        </w:rPr>
        <w:t>（2）规划目标</w:t>
      </w:r>
    </w:p>
    <w:p>
      <w:pPr>
        <w:ind w:firstLine="560"/>
        <w:rPr>
          <w:rFonts w:cs="Times New Roman"/>
        </w:rPr>
      </w:pPr>
      <w:r>
        <w:rPr>
          <w:rFonts w:hint="eastAsia" w:cs="Times New Roman"/>
        </w:rPr>
        <w:t>森林火灾监控率100%，火灾受灾率控制在3‰以下。</w:t>
      </w:r>
    </w:p>
    <w:p>
      <w:pPr>
        <w:pStyle w:val="6"/>
        <w:numPr>
          <w:ilvl w:val="2"/>
          <w:numId w:val="45"/>
        </w:numPr>
      </w:pPr>
      <w:bookmarkStart w:id="540" w:name="_Toc113925591"/>
      <w:bookmarkStart w:id="541" w:name="_Toc113925843"/>
      <w:r>
        <w:rPr>
          <w:rFonts w:hint="eastAsia"/>
        </w:rPr>
        <w:t>建设内容</w:t>
      </w:r>
      <w:bookmarkEnd w:id="540"/>
      <w:bookmarkEnd w:id="541"/>
    </w:p>
    <w:p>
      <w:pPr>
        <w:ind w:firstLine="560"/>
        <w:rPr>
          <w:rFonts w:cs="Times New Roman"/>
        </w:rPr>
      </w:pPr>
      <w:r>
        <w:rPr>
          <w:rFonts w:hint="eastAsia" w:cs="Times New Roman"/>
        </w:rPr>
        <w:t xml:space="preserve">（1）完善防火信息系统 </w:t>
      </w:r>
    </w:p>
    <w:p>
      <w:pPr>
        <w:ind w:firstLine="560"/>
        <w:rPr>
          <w:rFonts w:hint="eastAsia" w:cs="Times New Roman"/>
        </w:rPr>
      </w:pPr>
      <w:r>
        <w:rPr>
          <w:rFonts w:hint="eastAsia" w:cs="Times New Roman"/>
        </w:rPr>
        <w:t>结合</w:t>
      </w:r>
      <w:r>
        <w:rPr>
          <w:rFonts w:hint="eastAsia" w:cs="Times New Roman"/>
          <w:lang w:val="en-US" w:eastAsia="zh-CN"/>
        </w:rPr>
        <w:t>石门</w:t>
      </w:r>
      <w:r>
        <w:rPr>
          <w:rFonts w:hint="eastAsia" w:cs="Times New Roman"/>
        </w:rPr>
        <w:t>县森林防火规划，制定湿地公园森林防火机制，开展湿地公园与林业局、</w:t>
      </w:r>
      <w:r>
        <w:rPr>
          <w:rFonts w:hint="eastAsia" w:cs="Times New Roman"/>
          <w:lang w:val="en-US" w:eastAsia="zh-CN"/>
        </w:rPr>
        <w:t>应急局</w:t>
      </w:r>
      <w:r>
        <w:rPr>
          <w:rFonts w:hint="eastAsia" w:cs="Times New Roman"/>
        </w:rPr>
        <w:t>、周边社区联动防火工作，与周围乡镇签订联防协议，制定联防制度和措施，确定联防区域，形成信息共享、工作联动的格局。</w:t>
      </w:r>
    </w:p>
    <w:p>
      <w:pPr>
        <w:ind w:firstLine="560"/>
        <w:rPr>
          <w:rFonts w:hint="eastAsia" w:cs="Times New Roman"/>
        </w:rPr>
      </w:pPr>
      <w:r>
        <w:rPr>
          <w:rFonts w:hint="eastAsia" w:cs="Times New Roman"/>
        </w:rPr>
        <w:t xml:space="preserve">（2）建立防火队伍 </w:t>
      </w:r>
    </w:p>
    <w:p>
      <w:pPr>
        <w:ind w:firstLine="560"/>
        <w:rPr>
          <w:rFonts w:cs="Times New Roman"/>
        </w:rPr>
      </w:pPr>
      <w:r>
        <w:rPr>
          <w:rFonts w:hint="eastAsia" w:cs="Times New Roman"/>
        </w:rPr>
        <w:t>通过宣传教育，组织当地群众力量，打造半专业的防火队伍和群防组织，购置消防车1辆、高压抽水机30台、无人机2架、消防服装120套、扑火工具设备500套，联合石门县林业局、应急局的专业防灭火队伍，不断提高湿地公园及周边地区的防灭火扑救能力。</w:t>
      </w:r>
    </w:p>
    <w:p>
      <w:pPr>
        <w:ind w:firstLine="560"/>
        <w:rPr>
          <w:rFonts w:cs="Times New Roman"/>
        </w:rPr>
      </w:pPr>
      <w:r>
        <w:rPr>
          <w:rFonts w:hint="eastAsia" w:cs="Times New Roman"/>
        </w:rPr>
        <w:t>（3）设备设施建设</w:t>
      </w:r>
    </w:p>
    <w:p>
      <w:pPr>
        <w:ind w:firstLine="560"/>
        <w:rPr>
          <w:rFonts w:cs="Times New Roman"/>
        </w:rPr>
      </w:pPr>
      <w:r>
        <w:rPr>
          <w:rFonts w:hint="eastAsia" w:cs="Times New Roman"/>
        </w:rPr>
        <w:t>针对湿地公园内的</w:t>
      </w:r>
      <w:r>
        <w:rPr>
          <w:rFonts w:cs="Times New Roman"/>
        </w:rPr>
        <w:t>4224.55</w:t>
      </w:r>
      <w:r>
        <w:rPr>
          <w:rFonts w:hint="eastAsia" w:cs="Times New Roman"/>
        </w:rPr>
        <w:t>公顷林地，建设森林防灭火蓄水池50个，防灭火隔离带200公里，直升机停机坪1处。直升机停机坪规划面积1000平方米，应避开野生动物迁徙繁衍的通道，设立于八户山。</w:t>
      </w:r>
    </w:p>
    <w:p>
      <w:pPr>
        <w:ind w:firstLine="560"/>
        <w:rPr>
          <w:rFonts w:cs="Times New Roman"/>
        </w:rPr>
      </w:pPr>
      <w:r>
        <w:rPr>
          <w:rFonts w:hint="eastAsia" w:cs="Times New Roman"/>
        </w:rPr>
        <w:t>（4）建立防火宣传牌</w:t>
      </w:r>
    </w:p>
    <w:p>
      <w:pPr>
        <w:ind w:firstLine="560"/>
        <w:rPr>
          <w:rFonts w:cs="Times New Roman"/>
        </w:rPr>
      </w:pPr>
      <w:r>
        <w:rPr>
          <w:rFonts w:hint="eastAsia" w:cs="Times New Roman"/>
        </w:rPr>
        <w:t>在靠近居民密集区域，湿地公园出入口、交通道路岔口和主要游览点，设立永久性的、醒目的防火宣传牌100块，增强游客和居民的安全防火意识。</w:t>
      </w:r>
    </w:p>
    <w:p>
      <w:pPr>
        <w:pStyle w:val="5"/>
        <w:numPr>
          <w:ilvl w:val="1"/>
          <w:numId w:val="72"/>
        </w:numPr>
        <w:spacing w:before="197"/>
      </w:pPr>
      <w:bookmarkStart w:id="542" w:name="_Toc114084675"/>
      <w:bookmarkStart w:id="543" w:name="_Toc113925844"/>
      <w:bookmarkStart w:id="544" w:name="_Toc23109"/>
      <w:bookmarkStart w:id="545" w:name="_Toc21091"/>
      <w:bookmarkStart w:id="546" w:name="_Toc117114405"/>
      <w:bookmarkStart w:id="547" w:name="_Toc113925592"/>
      <w:r>
        <w:rPr>
          <w:rFonts w:hint="eastAsia"/>
        </w:rPr>
        <w:t>应急救援安全规划</w:t>
      </w:r>
      <w:bookmarkEnd w:id="542"/>
      <w:bookmarkEnd w:id="543"/>
      <w:bookmarkEnd w:id="544"/>
      <w:bookmarkEnd w:id="545"/>
      <w:bookmarkEnd w:id="546"/>
      <w:bookmarkEnd w:id="547"/>
    </w:p>
    <w:p>
      <w:pPr>
        <w:pStyle w:val="6"/>
        <w:numPr>
          <w:ilvl w:val="2"/>
          <w:numId w:val="73"/>
        </w:numPr>
      </w:pPr>
      <w:bookmarkStart w:id="548" w:name="_Toc113925845"/>
      <w:bookmarkStart w:id="549" w:name="_Toc113925593"/>
      <w:r>
        <w:rPr>
          <w:rFonts w:hint="eastAsia"/>
        </w:rPr>
        <w:t>现状</w:t>
      </w:r>
      <w:bookmarkEnd w:id="548"/>
      <w:bookmarkEnd w:id="549"/>
    </w:p>
    <w:p>
      <w:pPr>
        <w:ind w:firstLine="560"/>
        <w:rPr>
          <w:rFonts w:cs="Times New Roman"/>
        </w:rPr>
      </w:pPr>
      <w:r>
        <w:rPr>
          <w:rFonts w:hint="eastAsia" w:cs="Times New Roman"/>
        </w:rPr>
        <w:t>根据突发公共事件的发生过程、性质和机理，大致可以分为四大类：一类是自然灾害，如洪灾、旱灾、地震等；二类是事故灾难，如公路、水运交通事故，矿山事故，火灾事故等；三类是公共卫生事件，如传染病、食物中毒、动物疫情等；四类是社会安全事件，如恐怖事件、经济安全事件、群体性事件等。</w:t>
      </w:r>
    </w:p>
    <w:p>
      <w:pPr>
        <w:ind w:firstLine="560"/>
        <w:rPr>
          <w:rFonts w:cs="Times New Roman"/>
        </w:rPr>
      </w:pPr>
      <w:r>
        <w:rPr>
          <w:rFonts w:hint="eastAsia" w:cs="Times New Roman"/>
        </w:rPr>
        <w:t>湿地公园及周边乡（镇）近年来发生的突发公共事件（自然灾害、事故灾难、公共卫生事件、社会安全事件）主要是雨季的洪涝灾害。因此，洪涝灾害是突发事件的防范重点。</w:t>
      </w:r>
    </w:p>
    <w:p>
      <w:pPr>
        <w:pStyle w:val="6"/>
        <w:numPr>
          <w:ilvl w:val="2"/>
          <w:numId w:val="73"/>
        </w:numPr>
      </w:pPr>
      <w:bookmarkStart w:id="550" w:name="_Toc113925594"/>
      <w:bookmarkStart w:id="551" w:name="_Toc113925846"/>
      <w:r>
        <w:rPr>
          <w:rFonts w:hint="eastAsia"/>
        </w:rPr>
        <w:t>建设思路</w:t>
      </w:r>
      <w:bookmarkEnd w:id="550"/>
      <w:bookmarkEnd w:id="551"/>
    </w:p>
    <w:p>
      <w:pPr>
        <w:ind w:firstLine="560"/>
        <w:rPr>
          <w:rFonts w:cs="Times New Roman"/>
        </w:rPr>
      </w:pPr>
      <w:r>
        <w:rPr>
          <w:rFonts w:hint="eastAsia" w:cs="Times New Roman"/>
        </w:rPr>
        <w:t xml:space="preserve">建立专门常设部门机构，结合石门县已有的社会资源，进行协同预防和控制突发事件。通过突发事件应急系统的运作，能迅速有效地制止或消除突发事件的危害，迅速有效地处理危害后果，使湿地公园的社会经济系统正常运行。 </w:t>
      </w:r>
    </w:p>
    <w:p>
      <w:pPr>
        <w:pStyle w:val="6"/>
        <w:numPr>
          <w:ilvl w:val="2"/>
          <w:numId w:val="73"/>
        </w:numPr>
      </w:pPr>
      <w:bookmarkStart w:id="552" w:name="_Toc113925595"/>
      <w:bookmarkStart w:id="553" w:name="_Toc113925847"/>
      <w:r>
        <w:rPr>
          <w:rFonts w:hint="eastAsia"/>
        </w:rPr>
        <w:t>建设内容</w:t>
      </w:r>
      <w:bookmarkEnd w:id="552"/>
      <w:bookmarkEnd w:id="553"/>
    </w:p>
    <w:p>
      <w:pPr>
        <w:ind w:firstLine="560"/>
        <w:rPr>
          <w:rFonts w:cs="Times New Roman"/>
        </w:rPr>
      </w:pPr>
      <w:r>
        <w:rPr>
          <w:rFonts w:hint="eastAsia" w:cs="Times New Roman"/>
        </w:rPr>
        <w:t>（</w:t>
      </w:r>
      <w:r>
        <w:rPr>
          <w:rFonts w:cs="Times New Roman"/>
        </w:rPr>
        <w:t>1</w:t>
      </w:r>
      <w:r>
        <w:rPr>
          <w:rFonts w:hint="eastAsia" w:cs="Times New Roman"/>
        </w:rPr>
        <w:t xml:space="preserve">）建立应急制度 </w:t>
      </w:r>
    </w:p>
    <w:p>
      <w:pPr>
        <w:ind w:firstLine="560"/>
        <w:rPr>
          <w:rFonts w:cs="Times New Roman"/>
        </w:rPr>
      </w:pPr>
      <w:r>
        <w:rPr>
          <w:rFonts w:hint="eastAsia" w:cs="Times New Roman"/>
        </w:rPr>
        <w:t xml:space="preserve">建立湿地公园的物资储备制度、应急教育制度、预警监测制度、应急预案制度、紧急事件管理制度、启动应急预案等。 </w:t>
      </w:r>
    </w:p>
    <w:p>
      <w:pPr>
        <w:ind w:firstLine="560"/>
        <w:rPr>
          <w:rFonts w:cs="Times New Roman"/>
        </w:rPr>
      </w:pPr>
      <w:r>
        <w:rPr>
          <w:rFonts w:hint="eastAsia" w:cs="Times New Roman"/>
        </w:rPr>
        <w:t>（</w:t>
      </w:r>
      <w:r>
        <w:rPr>
          <w:rFonts w:cs="Times New Roman"/>
        </w:rPr>
        <w:t>2</w:t>
      </w:r>
      <w:r>
        <w:rPr>
          <w:rFonts w:hint="eastAsia" w:cs="Times New Roman"/>
        </w:rPr>
        <w:t>）建立健全应急指挥体系</w:t>
      </w:r>
    </w:p>
    <w:p>
      <w:pPr>
        <w:ind w:firstLine="560"/>
        <w:rPr>
          <w:rFonts w:cs="Times New Roman"/>
        </w:rPr>
      </w:pPr>
      <w:r>
        <w:rPr>
          <w:rFonts w:hint="eastAsia" w:cs="Times New Roman"/>
        </w:rPr>
        <w:t>建立应急指挥小组，下设信息、组织、后勤、安全等工作组，配备专项工作经费、工作人员和必要办公设备，确保指挥有力、保障到位。实行一元化领导，统一指挥，严格管理，通过命令、许可、强制和制裁等手段应对危机。</w:t>
      </w:r>
    </w:p>
    <w:p>
      <w:pPr>
        <w:ind w:firstLine="560"/>
        <w:rPr>
          <w:rFonts w:cs="Times New Roman"/>
        </w:rPr>
      </w:pPr>
      <w:r>
        <w:rPr>
          <w:rFonts w:hint="eastAsia" w:cs="Times New Roman"/>
        </w:rPr>
        <w:t>（</w:t>
      </w:r>
      <w:r>
        <w:rPr>
          <w:rFonts w:cs="Times New Roman"/>
        </w:rPr>
        <w:t>3</w:t>
      </w:r>
      <w:r>
        <w:rPr>
          <w:rFonts w:hint="eastAsia" w:cs="Times New Roman"/>
        </w:rPr>
        <w:t>）建立应急队伍</w:t>
      </w:r>
    </w:p>
    <w:p>
      <w:pPr>
        <w:ind w:firstLine="560"/>
        <w:rPr>
          <w:rFonts w:cs="Times New Roman"/>
        </w:rPr>
      </w:pPr>
      <w:r>
        <w:rPr>
          <w:rFonts w:hint="eastAsia" w:cs="Times New Roman"/>
        </w:rPr>
        <w:t>湿地公园整体水域面积较大，园内发生游客落水事故几率较大，必须建立一支专业的水上搜救应急队伍，加强应急培训工作，提高水上应急反应队伍的应变水平和实战能力，能迅速解决水上突发事故。购置水上搜救船2艘和水上摩托艇4艘，可与防火队伍共建，在发生重大突发事件时执行突击救援、治安维稳、消防抢险、工程修复、医疗救助、消毒防疫、物资运输、电力保障、信息通讯等任务。</w:t>
      </w:r>
    </w:p>
    <w:p>
      <w:pPr>
        <w:ind w:firstLine="560"/>
        <w:rPr>
          <w:rFonts w:cs="Times New Roman"/>
        </w:rPr>
      </w:pPr>
      <w:r>
        <w:rPr>
          <w:rFonts w:ascii="仿宋" w:hAnsi="仿宋" w:cs="仿宋"/>
          <w:color w:val="000000"/>
          <w:kern w:val="0"/>
          <w:szCs w:val="28"/>
          <w:lang w:bidi="ar"/>
        </w:rPr>
        <w:t>以上规划内容见表</w:t>
      </w:r>
      <w:r>
        <w:rPr>
          <w:rFonts w:hint="eastAsia" w:eastAsia="宋体" w:cs="Times New Roman"/>
          <w:color w:val="000000"/>
          <w:kern w:val="0"/>
          <w:szCs w:val="28"/>
          <w:lang w:bidi="ar"/>
        </w:rPr>
        <w:t>10</w:t>
      </w:r>
      <w:r>
        <w:rPr>
          <w:rFonts w:eastAsia="宋体" w:cs="Times New Roman"/>
          <w:color w:val="000000"/>
          <w:kern w:val="0"/>
          <w:szCs w:val="28"/>
          <w:lang w:bidi="ar"/>
        </w:rPr>
        <w:t>-</w:t>
      </w:r>
      <w:r>
        <w:rPr>
          <w:rFonts w:hint="eastAsia" w:eastAsia="宋体" w:cs="Times New Roman"/>
          <w:color w:val="000000"/>
          <w:kern w:val="0"/>
          <w:szCs w:val="28"/>
          <w:lang w:bidi="ar"/>
        </w:rPr>
        <w:t>1。</w:t>
      </w:r>
    </w:p>
    <w:p>
      <w:pPr>
        <w:pStyle w:val="14"/>
        <w:spacing w:before="197" w:after="0" w:afterLines="0"/>
        <w:rPr>
          <w:rFonts w:ascii="黑体" w:hAnsi="黑体" w:cs="黑体"/>
          <w:sz w:val="24"/>
          <w:szCs w:val="24"/>
        </w:rPr>
      </w:pPr>
      <w:bookmarkStart w:id="554" w:name="_Hlk113924655"/>
      <w:r>
        <w:rPr>
          <w:rFonts w:hint="eastAsia" w:ascii="黑体" w:hAnsi="黑体" w:cs="黑体"/>
          <w:sz w:val="24"/>
          <w:szCs w:val="24"/>
        </w:rPr>
        <w:t>仙阳湖国家湿地公园科研监测规划主要建设项目一览表</w:t>
      </w:r>
    </w:p>
    <w:p>
      <w:pPr>
        <w:spacing w:line="240" w:lineRule="auto"/>
        <w:ind w:firstLine="0" w:firstLineChars="0"/>
        <w:rPr>
          <w:rFonts w:cs="Times New Roman"/>
          <w:sz w:val="21"/>
          <w:szCs w:val="21"/>
        </w:rPr>
      </w:pPr>
      <w:r>
        <w:rPr>
          <w:rFonts w:hint="eastAsia" w:ascii="黑体" w:hAnsi="黑体" w:eastAsia="黑体" w:cs="黑体"/>
          <w:sz w:val="21"/>
          <w:szCs w:val="21"/>
        </w:rPr>
        <w:t>表</w:t>
      </w:r>
      <w:r>
        <w:rPr>
          <w:rFonts w:ascii="黑体" w:hAnsi="黑体" w:eastAsia="黑体" w:cs="黑体"/>
          <w:sz w:val="21"/>
          <w:szCs w:val="21"/>
        </w:rPr>
        <w:fldChar w:fldCharType="begin"/>
      </w:r>
      <w:r>
        <w:rPr>
          <w:rFonts w:ascii="黑体" w:hAnsi="黑体" w:eastAsia="黑体" w:cs="黑体"/>
          <w:sz w:val="21"/>
          <w:szCs w:val="21"/>
        </w:rPr>
        <w:instrText xml:space="preserve"> </w:instrText>
      </w:r>
      <w:r>
        <w:rPr>
          <w:rFonts w:hint="eastAsia" w:ascii="黑体" w:hAnsi="黑体" w:eastAsia="黑体" w:cs="黑体"/>
          <w:sz w:val="21"/>
          <w:szCs w:val="21"/>
        </w:rPr>
        <w:instrText xml:space="preserve">STYLEREF 1 \s</w:instrText>
      </w:r>
      <w:r>
        <w:rPr>
          <w:rFonts w:ascii="黑体" w:hAnsi="黑体" w:eastAsia="黑体" w:cs="黑体"/>
          <w:sz w:val="21"/>
          <w:szCs w:val="21"/>
        </w:rPr>
        <w:instrText xml:space="preserve"> </w:instrText>
      </w:r>
      <w:r>
        <w:rPr>
          <w:rFonts w:ascii="黑体" w:hAnsi="黑体" w:eastAsia="黑体" w:cs="黑体"/>
          <w:sz w:val="21"/>
          <w:szCs w:val="21"/>
        </w:rPr>
        <w:fldChar w:fldCharType="separate"/>
      </w:r>
      <w:r>
        <w:rPr>
          <w:rFonts w:ascii="黑体" w:hAnsi="黑体" w:eastAsia="黑体" w:cs="黑体"/>
          <w:sz w:val="21"/>
          <w:szCs w:val="21"/>
        </w:rPr>
        <w:t>10</w:t>
      </w:r>
      <w:r>
        <w:rPr>
          <w:rFonts w:ascii="黑体" w:hAnsi="黑体" w:eastAsia="黑体" w:cs="黑体"/>
          <w:sz w:val="21"/>
          <w:szCs w:val="21"/>
        </w:rPr>
        <w:fldChar w:fldCharType="end"/>
      </w:r>
      <w:r>
        <w:rPr>
          <w:rFonts w:ascii="黑体" w:hAnsi="黑体" w:eastAsia="黑体" w:cs="黑体"/>
          <w:sz w:val="21"/>
          <w:szCs w:val="21"/>
        </w:rPr>
        <w:t>-</w:t>
      </w:r>
      <w:r>
        <w:rPr>
          <w:rFonts w:ascii="黑体" w:hAnsi="黑体" w:eastAsia="黑体" w:cs="黑体"/>
          <w:sz w:val="21"/>
          <w:szCs w:val="21"/>
        </w:rPr>
        <w:fldChar w:fldCharType="begin"/>
      </w:r>
      <w:r>
        <w:rPr>
          <w:rFonts w:ascii="黑体" w:hAnsi="黑体" w:eastAsia="黑体" w:cs="黑体"/>
          <w:sz w:val="21"/>
          <w:szCs w:val="21"/>
        </w:rPr>
        <w:instrText xml:space="preserve"> </w:instrText>
      </w:r>
      <w:r>
        <w:rPr>
          <w:rFonts w:hint="eastAsia" w:ascii="黑体" w:hAnsi="黑体" w:eastAsia="黑体" w:cs="黑体"/>
          <w:sz w:val="21"/>
          <w:szCs w:val="21"/>
        </w:rPr>
        <w:instrText xml:space="preserve">SEQ 表 \* ARABIC \s 1</w:instrText>
      </w:r>
      <w:r>
        <w:rPr>
          <w:rFonts w:ascii="黑体" w:hAnsi="黑体" w:eastAsia="黑体" w:cs="黑体"/>
          <w:sz w:val="21"/>
          <w:szCs w:val="21"/>
        </w:rPr>
        <w:instrText xml:space="preserve"> </w:instrText>
      </w:r>
      <w:r>
        <w:rPr>
          <w:rFonts w:ascii="黑体" w:hAnsi="黑体" w:eastAsia="黑体" w:cs="黑体"/>
          <w:sz w:val="21"/>
          <w:szCs w:val="21"/>
        </w:rPr>
        <w:fldChar w:fldCharType="separate"/>
      </w:r>
      <w:r>
        <w:rPr>
          <w:rFonts w:ascii="黑体" w:hAnsi="黑体" w:eastAsia="黑体" w:cs="黑体"/>
          <w:sz w:val="21"/>
          <w:szCs w:val="21"/>
        </w:rPr>
        <w:t>1</w:t>
      </w:r>
      <w:r>
        <w:rPr>
          <w:rFonts w:ascii="黑体" w:hAnsi="黑体" w:eastAsia="黑体" w:cs="黑体"/>
          <w:sz w:val="21"/>
          <w:szCs w:val="21"/>
        </w:rPr>
        <w:fldChar w:fldCharType="end"/>
      </w:r>
    </w:p>
    <w:tbl>
      <w:tblPr>
        <w:tblStyle w:val="33"/>
        <w:tblW w:w="0" w:type="auto"/>
        <w:tblInd w:w="13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3"/>
        <w:gridCol w:w="949"/>
        <w:gridCol w:w="2529"/>
        <w:gridCol w:w="702"/>
        <w:gridCol w:w="707"/>
        <w:gridCol w:w="1364"/>
        <w:gridCol w:w="851"/>
        <w:gridCol w:w="8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723" w:type="dxa"/>
            <w:vMerge w:val="restart"/>
            <w:vAlign w:val="center"/>
          </w:tcPr>
          <w:p>
            <w:pPr>
              <w:pStyle w:val="44"/>
              <w:rPr>
                <w:rFonts w:eastAsia="仿宋" w:cs="Times New Roman"/>
                <w:szCs w:val="21"/>
              </w:rPr>
            </w:pPr>
            <w:r>
              <w:rPr>
                <w:rFonts w:hint="eastAsia" w:eastAsia="仿宋" w:cs="Times New Roman"/>
                <w:szCs w:val="21"/>
              </w:rPr>
              <w:t>序号</w:t>
            </w:r>
          </w:p>
        </w:tc>
        <w:tc>
          <w:tcPr>
            <w:tcW w:w="3478" w:type="dxa"/>
            <w:gridSpan w:val="2"/>
            <w:vMerge w:val="restart"/>
            <w:vAlign w:val="center"/>
          </w:tcPr>
          <w:p>
            <w:pPr>
              <w:pStyle w:val="44"/>
              <w:rPr>
                <w:rFonts w:eastAsia="仿宋" w:cs="Times New Roman"/>
                <w:szCs w:val="21"/>
              </w:rPr>
            </w:pPr>
            <w:r>
              <w:rPr>
                <w:rFonts w:hint="eastAsia" w:eastAsia="仿宋" w:cs="Times New Roman"/>
                <w:szCs w:val="21"/>
              </w:rPr>
              <w:t>建设内容</w:t>
            </w:r>
          </w:p>
        </w:tc>
        <w:tc>
          <w:tcPr>
            <w:tcW w:w="1409" w:type="dxa"/>
            <w:gridSpan w:val="2"/>
            <w:vAlign w:val="center"/>
          </w:tcPr>
          <w:p>
            <w:pPr>
              <w:pStyle w:val="44"/>
              <w:rPr>
                <w:rFonts w:eastAsia="仿宋" w:cs="Times New Roman"/>
                <w:szCs w:val="21"/>
              </w:rPr>
            </w:pPr>
            <w:r>
              <w:rPr>
                <w:rFonts w:hint="eastAsia" w:eastAsia="仿宋" w:cs="Times New Roman"/>
                <w:szCs w:val="21"/>
              </w:rPr>
              <w:t>建设规模</w:t>
            </w:r>
          </w:p>
        </w:tc>
        <w:tc>
          <w:tcPr>
            <w:tcW w:w="1364" w:type="dxa"/>
            <w:vMerge w:val="restart"/>
            <w:vAlign w:val="center"/>
          </w:tcPr>
          <w:p>
            <w:pPr>
              <w:pStyle w:val="44"/>
              <w:rPr>
                <w:rFonts w:eastAsia="仿宋" w:cs="Times New Roman"/>
                <w:szCs w:val="21"/>
              </w:rPr>
            </w:pPr>
            <w:r>
              <w:rPr>
                <w:rFonts w:hint="eastAsia" w:eastAsia="仿宋" w:cs="Times New Roman"/>
                <w:szCs w:val="21"/>
              </w:rPr>
              <w:t>建设地点</w:t>
            </w:r>
          </w:p>
        </w:tc>
        <w:tc>
          <w:tcPr>
            <w:tcW w:w="1673" w:type="dxa"/>
            <w:gridSpan w:val="2"/>
            <w:vAlign w:val="center"/>
          </w:tcPr>
          <w:p>
            <w:pPr>
              <w:pStyle w:val="44"/>
              <w:rPr>
                <w:rFonts w:eastAsia="仿宋" w:cs="Times New Roman"/>
                <w:szCs w:val="21"/>
              </w:rPr>
            </w:pPr>
            <w:r>
              <w:rPr>
                <w:rFonts w:hint="eastAsia" w:eastAsia="仿宋" w:cs="Times New Roman"/>
                <w:szCs w:val="21"/>
              </w:rPr>
              <w:t>建设期限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723" w:type="dxa"/>
            <w:vMerge w:val="continue"/>
            <w:vAlign w:val="center"/>
          </w:tcPr>
          <w:p>
            <w:pPr>
              <w:pStyle w:val="44"/>
              <w:rPr>
                <w:rFonts w:eastAsia="仿宋" w:cs="Times New Roman"/>
                <w:szCs w:val="21"/>
              </w:rPr>
            </w:pPr>
          </w:p>
        </w:tc>
        <w:tc>
          <w:tcPr>
            <w:tcW w:w="3478" w:type="dxa"/>
            <w:gridSpan w:val="2"/>
            <w:vMerge w:val="continue"/>
            <w:vAlign w:val="center"/>
          </w:tcPr>
          <w:p>
            <w:pPr>
              <w:pStyle w:val="44"/>
              <w:rPr>
                <w:rFonts w:eastAsia="仿宋" w:cs="Times New Roman"/>
                <w:szCs w:val="21"/>
              </w:rPr>
            </w:pPr>
          </w:p>
        </w:tc>
        <w:tc>
          <w:tcPr>
            <w:tcW w:w="702" w:type="dxa"/>
            <w:vAlign w:val="center"/>
          </w:tcPr>
          <w:p>
            <w:pPr>
              <w:pStyle w:val="44"/>
              <w:rPr>
                <w:rFonts w:eastAsia="仿宋" w:cs="Times New Roman"/>
                <w:szCs w:val="21"/>
              </w:rPr>
            </w:pPr>
            <w:r>
              <w:rPr>
                <w:rFonts w:hint="eastAsia" w:eastAsia="仿宋" w:cs="Times New Roman"/>
                <w:szCs w:val="21"/>
              </w:rPr>
              <w:t>单位</w:t>
            </w:r>
          </w:p>
        </w:tc>
        <w:tc>
          <w:tcPr>
            <w:tcW w:w="707" w:type="dxa"/>
            <w:vAlign w:val="center"/>
          </w:tcPr>
          <w:p>
            <w:pPr>
              <w:pStyle w:val="44"/>
              <w:rPr>
                <w:rFonts w:eastAsia="仿宋" w:cs="Times New Roman"/>
                <w:szCs w:val="21"/>
              </w:rPr>
            </w:pPr>
            <w:r>
              <w:rPr>
                <w:rFonts w:hint="eastAsia" w:eastAsia="仿宋" w:cs="Times New Roman"/>
                <w:szCs w:val="21"/>
              </w:rPr>
              <w:t>数量</w:t>
            </w:r>
          </w:p>
        </w:tc>
        <w:tc>
          <w:tcPr>
            <w:tcW w:w="1364" w:type="dxa"/>
            <w:vMerge w:val="continue"/>
            <w:vAlign w:val="center"/>
          </w:tcPr>
          <w:p>
            <w:pPr>
              <w:pStyle w:val="44"/>
              <w:rPr>
                <w:rFonts w:eastAsia="仿宋" w:cs="Times New Roman"/>
                <w:szCs w:val="21"/>
              </w:rPr>
            </w:pPr>
          </w:p>
        </w:tc>
        <w:tc>
          <w:tcPr>
            <w:tcW w:w="851" w:type="dxa"/>
            <w:vAlign w:val="center"/>
          </w:tcPr>
          <w:p>
            <w:pPr>
              <w:pStyle w:val="44"/>
              <w:rPr>
                <w:rFonts w:eastAsia="仿宋" w:cs="Times New Roman"/>
                <w:szCs w:val="21"/>
              </w:rPr>
            </w:pPr>
            <w:r>
              <w:rPr>
                <w:rFonts w:hint="eastAsia" w:eastAsia="仿宋" w:cs="Times New Roman"/>
                <w:szCs w:val="21"/>
              </w:rPr>
              <w:t>前期</w:t>
            </w:r>
          </w:p>
        </w:tc>
        <w:tc>
          <w:tcPr>
            <w:tcW w:w="822" w:type="dxa"/>
            <w:vAlign w:val="center"/>
          </w:tcPr>
          <w:p>
            <w:pPr>
              <w:pStyle w:val="44"/>
              <w:rPr>
                <w:rFonts w:eastAsia="仿宋" w:cs="Times New Roman"/>
                <w:szCs w:val="21"/>
              </w:rPr>
            </w:pPr>
            <w:r>
              <w:rPr>
                <w:rFonts w:hint="eastAsia" w:eastAsia="仿宋" w:cs="Times New Roman"/>
                <w:szCs w:val="21"/>
              </w:rPr>
              <w:t>后期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dxa"/>
            <w:vMerge w:val="restart"/>
            <w:vAlign w:val="center"/>
          </w:tcPr>
          <w:p>
            <w:pPr>
              <w:pStyle w:val="45"/>
              <w:rPr>
                <w:rFonts w:eastAsia="仿宋" w:cs="Times New Roman"/>
                <w:sz w:val="21"/>
                <w:szCs w:val="21"/>
              </w:rPr>
            </w:pPr>
            <w:r>
              <w:rPr>
                <w:rFonts w:eastAsia="仿宋" w:cs="Times New Roman"/>
                <w:sz w:val="21"/>
                <w:szCs w:val="21"/>
              </w:rPr>
              <w:t>1</w:t>
            </w:r>
          </w:p>
        </w:tc>
        <w:tc>
          <w:tcPr>
            <w:tcW w:w="949" w:type="dxa"/>
            <w:vMerge w:val="restart"/>
            <w:vAlign w:val="center"/>
          </w:tcPr>
          <w:p>
            <w:pPr>
              <w:pStyle w:val="45"/>
              <w:rPr>
                <w:rFonts w:eastAsia="仿宋" w:cs="Times New Roman"/>
                <w:sz w:val="21"/>
                <w:szCs w:val="21"/>
              </w:rPr>
            </w:pPr>
            <w:r>
              <w:rPr>
                <w:rFonts w:hint="eastAsia" w:eastAsia="仿宋" w:cs="Times New Roman"/>
                <w:sz w:val="21"/>
                <w:szCs w:val="21"/>
              </w:rPr>
              <w:t>有害生物防治</w:t>
            </w:r>
          </w:p>
        </w:tc>
        <w:tc>
          <w:tcPr>
            <w:tcW w:w="2529" w:type="dxa"/>
            <w:vAlign w:val="center"/>
          </w:tcPr>
          <w:p>
            <w:pPr>
              <w:pStyle w:val="45"/>
              <w:rPr>
                <w:rFonts w:eastAsia="仿宋" w:cs="Times New Roman"/>
                <w:sz w:val="21"/>
                <w:szCs w:val="21"/>
              </w:rPr>
            </w:pPr>
            <w:r>
              <w:rPr>
                <w:rFonts w:hint="eastAsia" w:eastAsia="仿宋" w:cs="Times New Roman"/>
                <w:sz w:val="21"/>
                <w:szCs w:val="21"/>
              </w:rPr>
              <w:t>外来有害物种防治检</w:t>
            </w:r>
          </w:p>
          <w:p>
            <w:pPr>
              <w:pStyle w:val="45"/>
              <w:rPr>
                <w:rFonts w:eastAsia="仿宋" w:cs="Times New Roman"/>
                <w:sz w:val="21"/>
                <w:szCs w:val="21"/>
              </w:rPr>
            </w:pPr>
            <w:r>
              <w:rPr>
                <w:rFonts w:hint="eastAsia" w:eastAsia="仿宋" w:cs="Times New Roman"/>
                <w:sz w:val="21"/>
                <w:szCs w:val="21"/>
              </w:rPr>
              <w:t>疫设备</w:t>
            </w:r>
          </w:p>
        </w:tc>
        <w:tc>
          <w:tcPr>
            <w:tcW w:w="702" w:type="dxa"/>
            <w:vAlign w:val="center"/>
          </w:tcPr>
          <w:p>
            <w:pPr>
              <w:pStyle w:val="45"/>
              <w:rPr>
                <w:rFonts w:eastAsia="仿宋" w:cs="Times New Roman"/>
                <w:sz w:val="21"/>
                <w:szCs w:val="21"/>
              </w:rPr>
            </w:pPr>
            <w:r>
              <w:rPr>
                <w:rFonts w:hint="eastAsia" w:eastAsia="仿宋" w:cs="Times New Roman"/>
                <w:sz w:val="21"/>
                <w:szCs w:val="21"/>
              </w:rPr>
              <w:t>套</w:t>
            </w:r>
          </w:p>
        </w:tc>
        <w:tc>
          <w:tcPr>
            <w:tcW w:w="707" w:type="dxa"/>
            <w:vAlign w:val="center"/>
          </w:tcPr>
          <w:p>
            <w:pPr>
              <w:pStyle w:val="45"/>
              <w:rPr>
                <w:rFonts w:eastAsia="仿宋" w:cs="Times New Roman"/>
                <w:sz w:val="21"/>
                <w:szCs w:val="21"/>
              </w:rPr>
            </w:pPr>
            <w:r>
              <w:rPr>
                <w:rFonts w:eastAsia="仿宋" w:cs="Times New Roman"/>
                <w:sz w:val="21"/>
                <w:szCs w:val="21"/>
              </w:rPr>
              <w:t>1</w:t>
            </w:r>
          </w:p>
        </w:tc>
        <w:tc>
          <w:tcPr>
            <w:tcW w:w="1364" w:type="dxa"/>
            <w:vAlign w:val="center"/>
          </w:tcPr>
          <w:p>
            <w:pPr>
              <w:pStyle w:val="45"/>
              <w:rPr>
                <w:rFonts w:eastAsia="仿宋" w:cs="Times New Roman"/>
                <w:sz w:val="21"/>
                <w:szCs w:val="21"/>
              </w:rPr>
            </w:pPr>
          </w:p>
        </w:tc>
        <w:tc>
          <w:tcPr>
            <w:tcW w:w="851" w:type="dxa"/>
            <w:vAlign w:val="center"/>
          </w:tcPr>
          <w:p>
            <w:pPr>
              <w:pStyle w:val="45"/>
              <w:rPr>
                <w:rFonts w:eastAsia="仿宋" w:cs="Times New Roman"/>
                <w:sz w:val="21"/>
                <w:szCs w:val="21"/>
              </w:rPr>
            </w:pPr>
            <w:r>
              <w:rPr>
                <w:rFonts w:hint="eastAsia" w:eastAsia="仿宋" w:cs="Times New Roman"/>
                <w:sz w:val="21"/>
                <w:szCs w:val="21"/>
              </w:rPr>
              <w:t>√</w:t>
            </w:r>
          </w:p>
        </w:tc>
        <w:tc>
          <w:tcPr>
            <w:tcW w:w="822"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dxa"/>
            <w:vMerge w:val="continue"/>
            <w:vAlign w:val="center"/>
          </w:tcPr>
          <w:p>
            <w:pPr>
              <w:pStyle w:val="45"/>
              <w:rPr>
                <w:rFonts w:eastAsia="仿宋" w:cs="Times New Roman"/>
                <w:sz w:val="21"/>
                <w:szCs w:val="21"/>
              </w:rPr>
            </w:pPr>
          </w:p>
        </w:tc>
        <w:tc>
          <w:tcPr>
            <w:tcW w:w="949" w:type="dxa"/>
            <w:vMerge w:val="continue"/>
            <w:vAlign w:val="center"/>
          </w:tcPr>
          <w:p>
            <w:pPr>
              <w:pStyle w:val="45"/>
              <w:rPr>
                <w:rFonts w:eastAsia="仿宋" w:cs="Times New Roman"/>
                <w:sz w:val="21"/>
                <w:szCs w:val="21"/>
              </w:rPr>
            </w:pPr>
          </w:p>
        </w:tc>
        <w:tc>
          <w:tcPr>
            <w:tcW w:w="2529" w:type="dxa"/>
            <w:vAlign w:val="center"/>
          </w:tcPr>
          <w:p>
            <w:pPr>
              <w:pStyle w:val="45"/>
              <w:rPr>
                <w:rFonts w:eastAsia="仿宋" w:cs="Times New Roman"/>
                <w:sz w:val="21"/>
                <w:szCs w:val="21"/>
              </w:rPr>
            </w:pPr>
            <w:r>
              <w:rPr>
                <w:rFonts w:hint="eastAsia" w:eastAsia="仿宋" w:cs="Times New Roman"/>
                <w:sz w:val="21"/>
                <w:szCs w:val="21"/>
              </w:rPr>
              <w:t>检疫防治车辆</w:t>
            </w:r>
          </w:p>
        </w:tc>
        <w:tc>
          <w:tcPr>
            <w:tcW w:w="702" w:type="dxa"/>
            <w:vAlign w:val="center"/>
          </w:tcPr>
          <w:p>
            <w:pPr>
              <w:pStyle w:val="45"/>
              <w:rPr>
                <w:rFonts w:eastAsia="仿宋" w:cs="Times New Roman"/>
                <w:sz w:val="21"/>
                <w:szCs w:val="21"/>
              </w:rPr>
            </w:pPr>
            <w:r>
              <w:rPr>
                <w:rFonts w:hint="eastAsia" w:eastAsia="仿宋" w:cs="Times New Roman"/>
                <w:sz w:val="21"/>
                <w:szCs w:val="21"/>
              </w:rPr>
              <w:t>辆</w:t>
            </w:r>
          </w:p>
        </w:tc>
        <w:tc>
          <w:tcPr>
            <w:tcW w:w="707" w:type="dxa"/>
            <w:vAlign w:val="center"/>
          </w:tcPr>
          <w:p>
            <w:pPr>
              <w:pStyle w:val="45"/>
              <w:rPr>
                <w:rFonts w:eastAsia="仿宋" w:cs="Times New Roman"/>
                <w:sz w:val="21"/>
                <w:szCs w:val="21"/>
              </w:rPr>
            </w:pPr>
            <w:r>
              <w:rPr>
                <w:rFonts w:eastAsia="仿宋" w:cs="Times New Roman"/>
                <w:sz w:val="21"/>
                <w:szCs w:val="21"/>
              </w:rPr>
              <w:t>1</w:t>
            </w:r>
          </w:p>
        </w:tc>
        <w:tc>
          <w:tcPr>
            <w:tcW w:w="1364" w:type="dxa"/>
            <w:vAlign w:val="center"/>
          </w:tcPr>
          <w:p>
            <w:pPr>
              <w:pStyle w:val="45"/>
              <w:rPr>
                <w:rFonts w:eastAsia="仿宋" w:cs="Times New Roman"/>
                <w:sz w:val="21"/>
                <w:szCs w:val="21"/>
              </w:rPr>
            </w:pPr>
          </w:p>
        </w:tc>
        <w:tc>
          <w:tcPr>
            <w:tcW w:w="851" w:type="dxa"/>
            <w:vAlign w:val="center"/>
          </w:tcPr>
          <w:p>
            <w:pPr>
              <w:pStyle w:val="45"/>
              <w:rPr>
                <w:rFonts w:eastAsia="仿宋" w:cs="Times New Roman"/>
                <w:sz w:val="21"/>
                <w:szCs w:val="21"/>
              </w:rPr>
            </w:pPr>
            <w:r>
              <w:rPr>
                <w:rFonts w:hint="eastAsia" w:eastAsia="仿宋" w:cs="Times New Roman"/>
                <w:sz w:val="21"/>
                <w:szCs w:val="21"/>
              </w:rPr>
              <w:t>√</w:t>
            </w:r>
          </w:p>
        </w:tc>
        <w:tc>
          <w:tcPr>
            <w:tcW w:w="822"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dxa"/>
            <w:vMerge w:val="continue"/>
            <w:vAlign w:val="center"/>
          </w:tcPr>
          <w:p>
            <w:pPr>
              <w:pStyle w:val="45"/>
              <w:rPr>
                <w:rFonts w:eastAsia="仿宋" w:cs="Times New Roman"/>
                <w:sz w:val="21"/>
                <w:szCs w:val="21"/>
              </w:rPr>
            </w:pPr>
          </w:p>
        </w:tc>
        <w:tc>
          <w:tcPr>
            <w:tcW w:w="949" w:type="dxa"/>
            <w:vMerge w:val="continue"/>
            <w:vAlign w:val="center"/>
          </w:tcPr>
          <w:p>
            <w:pPr>
              <w:pStyle w:val="45"/>
              <w:rPr>
                <w:rFonts w:eastAsia="仿宋" w:cs="Times New Roman"/>
                <w:sz w:val="21"/>
                <w:szCs w:val="21"/>
              </w:rPr>
            </w:pPr>
          </w:p>
        </w:tc>
        <w:tc>
          <w:tcPr>
            <w:tcW w:w="2529" w:type="dxa"/>
            <w:vAlign w:val="center"/>
          </w:tcPr>
          <w:p>
            <w:pPr>
              <w:pStyle w:val="45"/>
              <w:rPr>
                <w:rFonts w:eastAsia="仿宋" w:cs="Times New Roman"/>
                <w:sz w:val="21"/>
                <w:szCs w:val="21"/>
              </w:rPr>
            </w:pPr>
            <w:r>
              <w:rPr>
                <w:rFonts w:hint="eastAsia" w:eastAsia="仿宋" w:cs="Times New Roman"/>
                <w:sz w:val="21"/>
                <w:szCs w:val="21"/>
              </w:rPr>
              <w:t>有害生物监测预警、</w:t>
            </w:r>
          </w:p>
          <w:p>
            <w:pPr>
              <w:pStyle w:val="45"/>
              <w:rPr>
                <w:rFonts w:eastAsia="仿宋" w:cs="Times New Roman"/>
                <w:sz w:val="21"/>
                <w:szCs w:val="21"/>
              </w:rPr>
            </w:pPr>
            <w:r>
              <w:rPr>
                <w:rFonts w:hint="eastAsia" w:eastAsia="仿宋" w:cs="Times New Roman"/>
                <w:sz w:val="21"/>
                <w:szCs w:val="21"/>
              </w:rPr>
              <w:t>检疫防治、应急预案</w:t>
            </w:r>
          </w:p>
        </w:tc>
        <w:tc>
          <w:tcPr>
            <w:tcW w:w="702" w:type="dxa"/>
            <w:vAlign w:val="center"/>
          </w:tcPr>
          <w:p>
            <w:pPr>
              <w:pStyle w:val="45"/>
              <w:rPr>
                <w:rFonts w:eastAsia="仿宋" w:cs="Times New Roman"/>
                <w:sz w:val="21"/>
                <w:szCs w:val="21"/>
              </w:rPr>
            </w:pPr>
            <w:r>
              <w:rPr>
                <w:rFonts w:hint="eastAsia" w:eastAsia="仿宋" w:cs="Times New Roman"/>
                <w:sz w:val="21"/>
                <w:szCs w:val="21"/>
              </w:rPr>
              <w:t>项</w:t>
            </w:r>
          </w:p>
        </w:tc>
        <w:tc>
          <w:tcPr>
            <w:tcW w:w="707" w:type="dxa"/>
            <w:vAlign w:val="center"/>
          </w:tcPr>
          <w:p>
            <w:pPr>
              <w:pStyle w:val="45"/>
              <w:rPr>
                <w:rFonts w:eastAsia="仿宋" w:cs="Times New Roman"/>
                <w:sz w:val="21"/>
                <w:szCs w:val="21"/>
              </w:rPr>
            </w:pPr>
            <w:r>
              <w:rPr>
                <w:rFonts w:eastAsia="仿宋" w:cs="Times New Roman"/>
                <w:sz w:val="21"/>
                <w:szCs w:val="21"/>
              </w:rPr>
              <w:t>1</w:t>
            </w:r>
          </w:p>
        </w:tc>
        <w:tc>
          <w:tcPr>
            <w:tcW w:w="1364" w:type="dxa"/>
            <w:vAlign w:val="center"/>
          </w:tcPr>
          <w:p>
            <w:pPr>
              <w:pStyle w:val="45"/>
              <w:rPr>
                <w:rFonts w:eastAsia="仿宋" w:cs="Times New Roman"/>
                <w:sz w:val="21"/>
                <w:szCs w:val="21"/>
              </w:rPr>
            </w:pPr>
          </w:p>
        </w:tc>
        <w:tc>
          <w:tcPr>
            <w:tcW w:w="851" w:type="dxa"/>
            <w:vAlign w:val="center"/>
          </w:tcPr>
          <w:p>
            <w:pPr>
              <w:pStyle w:val="45"/>
              <w:rPr>
                <w:rFonts w:eastAsia="仿宋" w:cs="Times New Roman"/>
                <w:sz w:val="21"/>
                <w:szCs w:val="21"/>
              </w:rPr>
            </w:pPr>
            <w:r>
              <w:rPr>
                <w:rFonts w:hint="eastAsia" w:eastAsia="仿宋" w:cs="Times New Roman"/>
                <w:sz w:val="21"/>
                <w:szCs w:val="21"/>
              </w:rPr>
              <w:t>√</w:t>
            </w:r>
          </w:p>
        </w:tc>
        <w:tc>
          <w:tcPr>
            <w:tcW w:w="822"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dxa"/>
            <w:vMerge w:val="continue"/>
            <w:vAlign w:val="center"/>
          </w:tcPr>
          <w:p>
            <w:pPr>
              <w:pStyle w:val="45"/>
              <w:rPr>
                <w:rFonts w:eastAsia="仿宋" w:cs="Times New Roman"/>
                <w:sz w:val="21"/>
                <w:szCs w:val="21"/>
              </w:rPr>
            </w:pPr>
          </w:p>
        </w:tc>
        <w:tc>
          <w:tcPr>
            <w:tcW w:w="949" w:type="dxa"/>
            <w:vMerge w:val="continue"/>
            <w:vAlign w:val="center"/>
          </w:tcPr>
          <w:p>
            <w:pPr>
              <w:pStyle w:val="45"/>
              <w:rPr>
                <w:rFonts w:eastAsia="仿宋" w:cs="Times New Roman"/>
                <w:sz w:val="21"/>
                <w:szCs w:val="21"/>
              </w:rPr>
            </w:pPr>
          </w:p>
        </w:tc>
        <w:tc>
          <w:tcPr>
            <w:tcW w:w="2529" w:type="dxa"/>
            <w:vAlign w:val="center"/>
          </w:tcPr>
          <w:p>
            <w:pPr>
              <w:pStyle w:val="45"/>
              <w:rPr>
                <w:rFonts w:eastAsia="仿宋" w:cs="Times New Roman"/>
                <w:sz w:val="21"/>
                <w:szCs w:val="21"/>
              </w:rPr>
            </w:pPr>
            <w:r>
              <w:rPr>
                <w:rFonts w:hint="eastAsia" w:eastAsia="仿宋" w:cs="Times New Roman"/>
                <w:sz w:val="21"/>
                <w:szCs w:val="21"/>
              </w:rPr>
              <w:t>外来入侵物种清理</w:t>
            </w:r>
          </w:p>
        </w:tc>
        <w:tc>
          <w:tcPr>
            <w:tcW w:w="702" w:type="dxa"/>
            <w:vAlign w:val="center"/>
          </w:tcPr>
          <w:p>
            <w:pPr>
              <w:pStyle w:val="45"/>
              <w:rPr>
                <w:rFonts w:eastAsia="仿宋" w:cs="Times New Roman"/>
                <w:sz w:val="21"/>
                <w:szCs w:val="21"/>
              </w:rPr>
            </w:pPr>
            <w:r>
              <w:rPr>
                <w:rFonts w:hint="eastAsia" w:eastAsia="仿宋" w:cs="Times New Roman"/>
                <w:sz w:val="21"/>
                <w:szCs w:val="21"/>
              </w:rPr>
              <w:t>项</w:t>
            </w:r>
          </w:p>
        </w:tc>
        <w:tc>
          <w:tcPr>
            <w:tcW w:w="707" w:type="dxa"/>
            <w:vAlign w:val="center"/>
          </w:tcPr>
          <w:p>
            <w:pPr>
              <w:pStyle w:val="45"/>
              <w:rPr>
                <w:rFonts w:eastAsia="仿宋" w:cs="Times New Roman"/>
                <w:sz w:val="21"/>
                <w:szCs w:val="21"/>
              </w:rPr>
            </w:pPr>
            <w:r>
              <w:rPr>
                <w:rFonts w:eastAsia="仿宋" w:cs="Times New Roman"/>
                <w:sz w:val="21"/>
                <w:szCs w:val="21"/>
              </w:rPr>
              <w:t>1</w:t>
            </w:r>
          </w:p>
        </w:tc>
        <w:tc>
          <w:tcPr>
            <w:tcW w:w="1364" w:type="dxa"/>
            <w:vAlign w:val="center"/>
          </w:tcPr>
          <w:p>
            <w:pPr>
              <w:pStyle w:val="45"/>
              <w:rPr>
                <w:rFonts w:eastAsia="仿宋" w:cs="Times New Roman"/>
                <w:sz w:val="21"/>
                <w:szCs w:val="21"/>
              </w:rPr>
            </w:pPr>
            <w:r>
              <w:rPr>
                <w:rFonts w:hint="eastAsia" w:eastAsia="仿宋" w:cs="Times New Roman"/>
                <w:sz w:val="21"/>
                <w:szCs w:val="21"/>
              </w:rPr>
              <w:t>全园</w:t>
            </w:r>
          </w:p>
        </w:tc>
        <w:tc>
          <w:tcPr>
            <w:tcW w:w="851" w:type="dxa"/>
            <w:vAlign w:val="center"/>
          </w:tcPr>
          <w:p>
            <w:pPr>
              <w:pStyle w:val="45"/>
              <w:rPr>
                <w:rFonts w:eastAsia="仿宋" w:cs="Times New Roman"/>
                <w:sz w:val="21"/>
                <w:szCs w:val="21"/>
              </w:rPr>
            </w:pPr>
            <w:r>
              <w:rPr>
                <w:rFonts w:hint="eastAsia" w:eastAsia="仿宋" w:cs="Times New Roman"/>
                <w:sz w:val="21"/>
                <w:szCs w:val="21"/>
              </w:rPr>
              <w:t>√</w:t>
            </w:r>
          </w:p>
        </w:tc>
        <w:tc>
          <w:tcPr>
            <w:tcW w:w="822"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dxa"/>
            <w:vMerge w:val="restart"/>
            <w:vAlign w:val="center"/>
          </w:tcPr>
          <w:p>
            <w:pPr>
              <w:pStyle w:val="45"/>
              <w:rPr>
                <w:rFonts w:eastAsia="仿宋" w:cs="Times New Roman"/>
                <w:sz w:val="21"/>
                <w:szCs w:val="21"/>
              </w:rPr>
            </w:pPr>
            <w:r>
              <w:rPr>
                <w:rFonts w:eastAsia="仿宋" w:cs="Times New Roman"/>
                <w:sz w:val="21"/>
                <w:szCs w:val="21"/>
              </w:rPr>
              <w:t>2</w:t>
            </w:r>
          </w:p>
        </w:tc>
        <w:tc>
          <w:tcPr>
            <w:tcW w:w="949" w:type="dxa"/>
            <w:vMerge w:val="restart"/>
            <w:vAlign w:val="center"/>
          </w:tcPr>
          <w:p>
            <w:pPr>
              <w:pStyle w:val="45"/>
              <w:rPr>
                <w:rFonts w:eastAsia="仿宋" w:cs="Times New Roman"/>
                <w:sz w:val="21"/>
                <w:szCs w:val="21"/>
              </w:rPr>
            </w:pPr>
            <w:r>
              <w:rPr>
                <w:rFonts w:hint="eastAsia" w:eastAsia="仿宋" w:cs="Times New Roman"/>
                <w:sz w:val="21"/>
                <w:szCs w:val="21"/>
              </w:rPr>
              <w:t>地质灾害防治</w:t>
            </w:r>
          </w:p>
        </w:tc>
        <w:tc>
          <w:tcPr>
            <w:tcW w:w="2529" w:type="dxa"/>
            <w:vAlign w:val="center"/>
          </w:tcPr>
          <w:p>
            <w:pPr>
              <w:pStyle w:val="45"/>
              <w:rPr>
                <w:rFonts w:eastAsia="仿宋" w:cs="Times New Roman"/>
                <w:sz w:val="21"/>
                <w:szCs w:val="21"/>
              </w:rPr>
            </w:pPr>
            <w:r>
              <w:rPr>
                <w:rFonts w:hint="eastAsia" w:eastAsia="仿宋" w:cs="Times New Roman"/>
                <w:sz w:val="21"/>
                <w:szCs w:val="21"/>
              </w:rPr>
              <w:t>绘制公园地质灾害分布图</w:t>
            </w:r>
          </w:p>
        </w:tc>
        <w:tc>
          <w:tcPr>
            <w:tcW w:w="702" w:type="dxa"/>
            <w:vAlign w:val="center"/>
          </w:tcPr>
          <w:p>
            <w:pPr>
              <w:pStyle w:val="45"/>
              <w:rPr>
                <w:rFonts w:eastAsia="仿宋" w:cs="Times New Roman"/>
                <w:sz w:val="21"/>
                <w:szCs w:val="21"/>
              </w:rPr>
            </w:pPr>
            <w:r>
              <w:rPr>
                <w:rFonts w:hint="eastAsia" w:eastAsia="仿宋" w:cs="Times New Roman"/>
                <w:sz w:val="21"/>
                <w:szCs w:val="21"/>
              </w:rPr>
              <w:t>套</w:t>
            </w:r>
          </w:p>
        </w:tc>
        <w:tc>
          <w:tcPr>
            <w:tcW w:w="707" w:type="dxa"/>
            <w:vAlign w:val="center"/>
          </w:tcPr>
          <w:p>
            <w:pPr>
              <w:pStyle w:val="45"/>
              <w:rPr>
                <w:rFonts w:eastAsia="仿宋" w:cs="Times New Roman"/>
                <w:sz w:val="21"/>
                <w:szCs w:val="21"/>
              </w:rPr>
            </w:pPr>
            <w:r>
              <w:rPr>
                <w:rFonts w:eastAsia="仿宋" w:cs="Times New Roman"/>
                <w:sz w:val="21"/>
                <w:szCs w:val="21"/>
              </w:rPr>
              <w:t>1</w:t>
            </w:r>
          </w:p>
        </w:tc>
        <w:tc>
          <w:tcPr>
            <w:tcW w:w="1364" w:type="dxa"/>
            <w:vAlign w:val="center"/>
          </w:tcPr>
          <w:p>
            <w:pPr>
              <w:pStyle w:val="45"/>
              <w:rPr>
                <w:rFonts w:eastAsia="仿宋" w:cs="Times New Roman"/>
                <w:sz w:val="21"/>
                <w:szCs w:val="21"/>
              </w:rPr>
            </w:pPr>
          </w:p>
        </w:tc>
        <w:tc>
          <w:tcPr>
            <w:tcW w:w="851" w:type="dxa"/>
            <w:vAlign w:val="center"/>
          </w:tcPr>
          <w:p>
            <w:pPr>
              <w:pStyle w:val="45"/>
              <w:rPr>
                <w:rFonts w:eastAsia="仿宋" w:cs="Times New Roman"/>
                <w:sz w:val="21"/>
                <w:szCs w:val="21"/>
              </w:rPr>
            </w:pPr>
            <w:r>
              <w:rPr>
                <w:rFonts w:hint="eastAsia" w:eastAsia="仿宋" w:cs="Times New Roman"/>
                <w:sz w:val="21"/>
                <w:szCs w:val="21"/>
              </w:rPr>
              <w:t>√</w:t>
            </w:r>
          </w:p>
        </w:tc>
        <w:tc>
          <w:tcPr>
            <w:tcW w:w="822"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dxa"/>
            <w:vMerge w:val="continue"/>
            <w:vAlign w:val="center"/>
          </w:tcPr>
          <w:p>
            <w:pPr>
              <w:pStyle w:val="45"/>
              <w:rPr>
                <w:rFonts w:eastAsia="仿宋" w:cs="Times New Roman"/>
                <w:sz w:val="21"/>
                <w:szCs w:val="21"/>
              </w:rPr>
            </w:pPr>
          </w:p>
        </w:tc>
        <w:tc>
          <w:tcPr>
            <w:tcW w:w="949" w:type="dxa"/>
            <w:vMerge w:val="continue"/>
            <w:vAlign w:val="center"/>
          </w:tcPr>
          <w:p>
            <w:pPr>
              <w:pStyle w:val="45"/>
              <w:rPr>
                <w:rFonts w:eastAsia="仿宋" w:cs="Times New Roman"/>
                <w:sz w:val="21"/>
                <w:szCs w:val="21"/>
              </w:rPr>
            </w:pPr>
          </w:p>
        </w:tc>
        <w:tc>
          <w:tcPr>
            <w:tcW w:w="2529" w:type="dxa"/>
            <w:vAlign w:val="center"/>
          </w:tcPr>
          <w:p>
            <w:pPr>
              <w:pStyle w:val="45"/>
              <w:rPr>
                <w:rFonts w:eastAsia="仿宋" w:cs="Times New Roman"/>
                <w:sz w:val="21"/>
                <w:szCs w:val="21"/>
              </w:rPr>
            </w:pPr>
            <w:r>
              <w:rPr>
                <w:rFonts w:hint="eastAsia" w:eastAsia="仿宋" w:cs="Times New Roman"/>
                <w:sz w:val="21"/>
                <w:szCs w:val="21"/>
              </w:rPr>
              <w:t>地质灾害预防方案</w:t>
            </w:r>
          </w:p>
        </w:tc>
        <w:tc>
          <w:tcPr>
            <w:tcW w:w="702" w:type="dxa"/>
            <w:vAlign w:val="center"/>
          </w:tcPr>
          <w:p>
            <w:pPr>
              <w:pStyle w:val="45"/>
              <w:rPr>
                <w:rFonts w:eastAsia="仿宋" w:cs="Times New Roman"/>
                <w:sz w:val="21"/>
                <w:szCs w:val="21"/>
              </w:rPr>
            </w:pPr>
            <w:r>
              <w:rPr>
                <w:rFonts w:hint="eastAsia" w:eastAsia="仿宋" w:cs="Times New Roman"/>
                <w:sz w:val="21"/>
                <w:szCs w:val="21"/>
              </w:rPr>
              <w:t>项</w:t>
            </w:r>
          </w:p>
        </w:tc>
        <w:tc>
          <w:tcPr>
            <w:tcW w:w="707" w:type="dxa"/>
            <w:vAlign w:val="center"/>
          </w:tcPr>
          <w:p>
            <w:pPr>
              <w:pStyle w:val="45"/>
              <w:rPr>
                <w:rFonts w:eastAsia="仿宋" w:cs="Times New Roman"/>
                <w:sz w:val="21"/>
                <w:szCs w:val="21"/>
              </w:rPr>
            </w:pPr>
            <w:r>
              <w:rPr>
                <w:rFonts w:eastAsia="仿宋" w:cs="Times New Roman"/>
                <w:sz w:val="21"/>
                <w:szCs w:val="21"/>
              </w:rPr>
              <w:t>1</w:t>
            </w:r>
          </w:p>
        </w:tc>
        <w:tc>
          <w:tcPr>
            <w:tcW w:w="1364" w:type="dxa"/>
            <w:vAlign w:val="center"/>
          </w:tcPr>
          <w:p>
            <w:pPr>
              <w:pStyle w:val="45"/>
              <w:rPr>
                <w:rFonts w:eastAsia="仿宋" w:cs="Times New Roman"/>
                <w:sz w:val="21"/>
                <w:szCs w:val="21"/>
              </w:rPr>
            </w:pPr>
          </w:p>
        </w:tc>
        <w:tc>
          <w:tcPr>
            <w:tcW w:w="851" w:type="dxa"/>
            <w:vAlign w:val="center"/>
          </w:tcPr>
          <w:p>
            <w:pPr>
              <w:pStyle w:val="45"/>
              <w:rPr>
                <w:rFonts w:eastAsia="仿宋" w:cs="Times New Roman"/>
                <w:sz w:val="21"/>
                <w:szCs w:val="21"/>
              </w:rPr>
            </w:pPr>
            <w:r>
              <w:rPr>
                <w:rFonts w:hint="eastAsia" w:eastAsia="仿宋" w:cs="Times New Roman"/>
                <w:sz w:val="21"/>
                <w:szCs w:val="21"/>
              </w:rPr>
              <w:t>√</w:t>
            </w:r>
          </w:p>
        </w:tc>
        <w:tc>
          <w:tcPr>
            <w:tcW w:w="822"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dxa"/>
            <w:vMerge w:val="continue"/>
            <w:vAlign w:val="center"/>
          </w:tcPr>
          <w:p>
            <w:pPr>
              <w:pStyle w:val="45"/>
              <w:rPr>
                <w:rFonts w:eastAsia="仿宋" w:cs="Times New Roman"/>
                <w:sz w:val="21"/>
                <w:szCs w:val="21"/>
              </w:rPr>
            </w:pPr>
          </w:p>
        </w:tc>
        <w:tc>
          <w:tcPr>
            <w:tcW w:w="949" w:type="dxa"/>
            <w:vMerge w:val="continue"/>
            <w:vAlign w:val="center"/>
          </w:tcPr>
          <w:p>
            <w:pPr>
              <w:pStyle w:val="45"/>
              <w:rPr>
                <w:rFonts w:eastAsia="仿宋" w:cs="Times New Roman"/>
                <w:sz w:val="21"/>
                <w:szCs w:val="21"/>
              </w:rPr>
            </w:pPr>
          </w:p>
        </w:tc>
        <w:tc>
          <w:tcPr>
            <w:tcW w:w="2529" w:type="dxa"/>
            <w:vAlign w:val="center"/>
          </w:tcPr>
          <w:p>
            <w:pPr>
              <w:pStyle w:val="45"/>
              <w:rPr>
                <w:rFonts w:eastAsia="仿宋" w:cs="Times New Roman"/>
                <w:sz w:val="21"/>
                <w:szCs w:val="21"/>
              </w:rPr>
            </w:pPr>
            <w:r>
              <w:rPr>
                <w:rFonts w:hint="eastAsia" w:eastAsia="仿宋" w:cs="Times New Roman"/>
                <w:sz w:val="21"/>
                <w:szCs w:val="21"/>
              </w:rPr>
              <w:t>建立地质灾害监测网络和预警信息系统</w:t>
            </w:r>
          </w:p>
        </w:tc>
        <w:tc>
          <w:tcPr>
            <w:tcW w:w="702" w:type="dxa"/>
            <w:vAlign w:val="center"/>
          </w:tcPr>
          <w:p>
            <w:pPr>
              <w:pStyle w:val="45"/>
              <w:rPr>
                <w:rFonts w:eastAsia="仿宋" w:cs="Times New Roman"/>
                <w:sz w:val="21"/>
                <w:szCs w:val="21"/>
              </w:rPr>
            </w:pPr>
            <w:r>
              <w:rPr>
                <w:rFonts w:hint="eastAsia" w:eastAsia="仿宋" w:cs="Times New Roman"/>
                <w:sz w:val="21"/>
                <w:szCs w:val="21"/>
              </w:rPr>
              <w:t>项</w:t>
            </w:r>
          </w:p>
        </w:tc>
        <w:tc>
          <w:tcPr>
            <w:tcW w:w="707" w:type="dxa"/>
            <w:vAlign w:val="center"/>
          </w:tcPr>
          <w:p>
            <w:pPr>
              <w:pStyle w:val="45"/>
              <w:rPr>
                <w:rFonts w:eastAsia="仿宋" w:cs="Times New Roman"/>
                <w:sz w:val="21"/>
                <w:szCs w:val="21"/>
              </w:rPr>
            </w:pPr>
            <w:r>
              <w:rPr>
                <w:rFonts w:eastAsia="仿宋" w:cs="Times New Roman"/>
                <w:sz w:val="21"/>
                <w:szCs w:val="21"/>
              </w:rPr>
              <w:t>1</w:t>
            </w:r>
          </w:p>
        </w:tc>
        <w:tc>
          <w:tcPr>
            <w:tcW w:w="1364" w:type="dxa"/>
            <w:vAlign w:val="center"/>
          </w:tcPr>
          <w:p>
            <w:pPr>
              <w:pStyle w:val="45"/>
              <w:rPr>
                <w:rFonts w:eastAsia="仿宋" w:cs="Times New Roman"/>
                <w:sz w:val="21"/>
                <w:szCs w:val="21"/>
              </w:rPr>
            </w:pPr>
          </w:p>
        </w:tc>
        <w:tc>
          <w:tcPr>
            <w:tcW w:w="851" w:type="dxa"/>
            <w:vAlign w:val="center"/>
          </w:tcPr>
          <w:p>
            <w:pPr>
              <w:pStyle w:val="45"/>
              <w:rPr>
                <w:rFonts w:eastAsia="仿宋" w:cs="Times New Roman"/>
                <w:sz w:val="21"/>
                <w:szCs w:val="21"/>
              </w:rPr>
            </w:pPr>
            <w:r>
              <w:rPr>
                <w:rFonts w:hint="eastAsia" w:eastAsia="仿宋" w:cs="Times New Roman"/>
                <w:sz w:val="21"/>
                <w:szCs w:val="21"/>
              </w:rPr>
              <w:t>√</w:t>
            </w:r>
          </w:p>
        </w:tc>
        <w:tc>
          <w:tcPr>
            <w:tcW w:w="822"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dxa"/>
            <w:vMerge w:val="restart"/>
            <w:vAlign w:val="center"/>
          </w:tcPr>
          <w:p>
            <w:pPr>
              <w:pStyle w:val="45"/>
              <w:rPr>
                <w:rFonts w:eastAsia="仿宋" w:cs="Times New Roman"/>
                <w:sz w:val="21"/>
                <w:szCs w:val="21"/>
              </w:rPr>
            </w:pPr>
            <w:r>
              <w:rPr>
                <w:rFonts w:eastAsia="仿宋" w:cs="Times New Roman"/>
                <w:sz w:val="21"/>
                <w:szCs w:val="21"/>
              </w:rPr>
              <w:t>3</w:t>
            </w:r>
          </w:p>
        </w:tc>
        <w:tc>
          <w:tcPr>
            <w:tcW w:w="949" w:type="dxa"/>
            <w:vMerge w:val="restart"/>
            <w:vAlign w:val="center"/>
          </w:tcPr>
          <w:p>
            <w:pPr>
              <w:pStyle w:val="45"/>
              <w:rPr>
                <w:rFonts w:eastAsia="仿宋" w:cs="Times New Roman"/>
                <w:sz w:val="21"/>
                <w:szCs w:val="21"/>
              </w:rPr>
            </w:pPr>
            <w:r>
              <w:rPr>
                <w:rFonts w:hint="eastAsia" w:eastAsia="仿宋" w:cs="Times New Roman"/>
                <w:sz w:val="21"/>
                <w:szCs w:val="21"/>
              </w:rPr>
              <w:t>洪涝防治</w:t>
            </w:r>
          </w:p>
        </w:tc>
        <w:tc>
          <w:tcPr>
            <w:tcW w:w="2529" w:type="dxa"/>
            <w:vAlign w:val="center"/>
          </w:tcPr>
          <w:p>
            <w:pPr>
              <w:pStyle w:val="45"/>
              <w:rPr>
                <w:rFonts w:eastAsia="仿宋" w:cs="Times New Roman"/>
                <w:sz w:val="21"/>
                <w:szCs w:val="21"/>
              </w:rPr>
            </w:pPr>
            <w:r>
              <w:rPr>
                <w:rFonts w:hint="eastAsia" w:eastAsia="仿宋" w:cs="Times New Roman"/>
                <w:sz w:val="21"/>
                <w:szCs w:val="21"/>
              </w:rPr>
              <w:t>宣传栏</w:t>
            </w:r>
          </w:p>
        </w:tc>
        <w:tc>
          <w:tcPr>
            <w:tcW w:w="702" w:type="dxa"/>
            <w:vAlign w:val="center"/>
          </w:tcPr>
          <w:p>
            <w:pPr>
              <w:pStyle w:val="45"/>
              <w:rPr>
                <w:rFonts w:eastAsia="仿宋" w:cs="Times New Roman"/>
                <w:sz w:val="21"/>
                <w:szCs w:val="21"/>
              </w:rPr>
            </w:pPr>
            <w:r>
              <w:rPr>
                <w:rFonts w:hint="eastAsia" w:eastAsia="仿宋" w:cs="Times New Roman"/>
                <w:sz w:val="21"/>
                <w:szCs w:val="21"/>
              </w:rPr>
              <w:t>块</w:t>
            </w:r>
          </w:p>
        </w:tc>
        <w:tc>
          <w:tcPr>
            <w:tcW w:w="707" w:type="dxa"/>
            <w:vAlign w:val="center"/>
          </w:tcPr>
          <w:p>
            <w:pPr>
              <w:pStyle w:val="45"/>
              <w:rPr>
                <w:rFonts w:eastAsia="仿宋" w:cs="Times New Roman"/>
                <w:sz w:val="21"/>
                <w:szCs w:val="21"/>
              </w:rPr>
            </w:pPr>
            <w:r>
              <w:rPr>
                <w:rFonts w:eastAsia="仿宋" w:cs="Times New Roman"/>
                <w:sz w:val="21"/>
                <w:szCs w:val="21"/>
              </w:rPr>
              <w:t>20</w:t>
            </w:r>
          </w:p>
        </w:tc>
        <w:tc>
          <w:tcPr>
            <w:tcW w:w="1364" w:type="dxa"/>
            <w:vAlign w:val="center"/>
          </w:tcPr>
          <w:p>
            <w:pPr>
              <w:pStyle w:val="45"/>
              <w:rPr>
                <w:rFonts w:eastAsia="仿宋" w:cs="Times New Roman"/>
                <w:sz w:val="21"/>
                <w:szCs w:val="21"/>
              </w:rPr>
            </w:pPr>
            <w:r>
              <w:rPr>
                <w:rFonts w:hint="eastAsia" w:eastAsia="仿宋" w:cs="Times New Roman"/>
                <w:sz w:val="21"/>
                <w:szCs w:val="21"/>
              </w:rPr>
              <w:t>全园</w:t>
            </w:r>
          </w:p>
        </w:tc>
        <w:tc>
          <w:tcPr>
            <w:tcW w:w="851" w:type="dxa"/>
            <w:vAlign w:val="center"/>
          </w:tcPr>
          <w:p>
            <w:pPr>
              <w:pStyle w:val="45"/>
              <w:rPr>
                <w:rFonts w:eastAsia="仿宋" w:cs="Times New Roman"/>
                <w:sz w:val="21"/>
                <w:szCs w:val="21"/>
              </w:rPr>
            </w:pPr>
            <w:r>
              <w:rPr>
                <w:rFonts w:hint="eastAsia" w:eastAsia="仿宋" w:cs="Times New Roman"/>
                <w:sz w:val="21"/>
                <w:szCs w:val="21"/>
              </w:rPr>
              <w:t>√</w:t>
            </w:r>
          </w:p>
        </w:tc>
        <w:tc>
          <w:tcPr>
            <w:tcW w:w="822"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dxa"/>
            <w:vMerge w:val="continue"/>
            <w:vAlign w:val="center"/>
          </w:tcPr>
          <w:p>
            <w:pPr>
              <w:pStyle w:val="45"/>
              <w:rPr>
                <w:rFonts w:eastAsia="仿宋" w:cs="Times New Roman"/>
                <w:sz w:val="21"/>
                <w:szCs w:val="21"/>
              </w:rPr>
            </w:pPr>
          </w:p>
        </w:tc>
        <w:tc>
          <w:tcPr>
            <w:tcW w:w="949" w:type="dxa"/>
            <w:vMerge w:val="continue"/>
            <w:vAlign w:val="center"/>
          </w:tcPr>
          <w:p>
            <w:pPr>
              <w:pStyle w:val="45"/>
              <w:rPr>
                <w:rFonts w:eastAsia="仿宋" w:cs="Times New Roman"/>
                <w:sz w:val="21"/>
                <w:szCs w:val="21"/>
              </w:rPr>
            </w:pPr>
          </w:p>
        </w:tc>
        <w:tc>
          <w:tcPr>
            <w:tcW w:w="2529" w:type="dxa"/>
            <w:vAlign w:val="center"/>
          </w:tcPr>
          <w:p>
            <w:pPr>
              <w:pStyle w:val="45"/>
              <w:rPr>
                <w:rFonts w:eastAsia="仿宋" w:cs="Times New Roman"/>
                <w:sz w:val="21"/>
                <w:szCs w:val="21"/>
              </w:rPr>
            </w:pPr>
            <w:r>
              <w:rPr>
                <w:rFonts w:hint="eastAsia" w:eastAsia="仿宋" w:cs="Times New Roman"/>
                <w:sz w:val="21"/>
                <w:szCs w:val="21"/>
              </w:rPr>
              <w:t>宣传手册</w:t>
            </w:r>
          </w:p>
        </w:tc>
        <w:tc>
          <w:tcPr>
            <w:tcW w:w="702" w:type="dxa"/>
            <w:vAlign w:val="center"/>
          </w:tcPr>
          <w:p>
            <w:pPr>
              <w:pStyle w:val="45"/>
              <w:rPr>
                <w:rFonts w:eastAsia="仿宋" w:cs="Times New Roman"/>
                <w:sz w:val="21"/>
                <w:szCs w:val="21"/>
              </w:rPr>
            </w:pPr>
            <w:r>
              <w:rPr>
                <w:rFonts w:hint="eastAsia" w:eastAsia="仿宋" w:cs="Times New Roman"/>
                <w:sz w:val="21"/>
                <w:szCs w:val="21"/>
              </w:rPr>
              <w:t>册</w:t>
            </w:r>
          </w:p>
        </w:tc>
        <w:tc>
          <w:tcPr>
            <w:tcW w:w="707" w:type="dxa"/>
            <w:vAlign w:val="center"/>
          </w:tcPr>
          <w:p>
            <w:pPr>
              <w:pStyle w:val="45"/>
              <w:rPr>
                <w:rFonts w:eastAsia="仿宋" w:cs="Times New Roman"/>
                <w:sz w:val="21"/>
                <w:szCs w:val="21"/>
              </w:rPr>
            </w:pPr>
            <w:r>
              <w:rPr>
                <w:rFonts w:eastAsia="仿宋" w:cs="Times New Roman"/>
                <w:sz w:val="21"/>
                <w:szCs w:val="21"/>
              </w:rPr>
              <w:t>3500</w:t>
            </w:r>
          </w:p>
        </w:tc>
        <w:tc>
          <w:tcPr>
            <w:tcW w:w="1364" w:type="dxa"/>
            <w:vAlign w:val="center"/>
          </w:tcPr>
          <w:p>
            <w:pPr>
              <w:pStyle w:val="45"/>
              <w:rPr>
                <w:rFonts w:eastAsia="仿宋" w:cs="Times New Roman"/>
                <w:sz w:val="21"/>
                <w:szCs w:val="21"/>
              </w:rPr>
            </w:pPr>
          </w:p>
        </w:tc>
        <w:tc>
          <w:tcPr>
            <w:tcW w:w="851" w:type="dxa"/>
            <w:vAlign w:val="center"/>
          </w:tcPr>
          <w:p>
            <w:pPr>
              <w:pStyle w:val="45"/>
              <w:rPr>
                <w:rFonts w:eastAsia="仿宋" w:cs="Times New Roman"/>
                <w:sz w:val="21"/>
                <w:szCs w:val="21"/>
              </w:rPr>
            </w:pPr>
            <w:r>
              <w:rPr>
                <w:rFonts w:hint="eastAsia" w:eastAsia="仿宋" w:cs="Times New Roman"/>
                <w:sz w:val="21"/>
                <w:szCs w:val="21"/>
              </w:rPr>
              <w:t>√</w:t>
            </w:r>
          </w:p>
        </w:tc>
        <w:tc>
          <w:tcPr>
            <w:tcW w:w="822"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dxa"/>
            <w:vMerge w:val="restart"/>
            <w:vAlign w:val="center"/>
          </w:tcPr>
          <w:p>
            <w:pPr>
              <w:pStyle w:val="45"/>
              <w:rPr>
                <w:rFonts w:eastAsia="仿宋" w:cs="Times New Roman"/>
                <w:sz w:val="21"/>
                <w:szCs w:val="21"/>
              </w:rPr>
            </w:pPr>
            <w:r>
              <w:rPr>
                <w:rFonts w:eastAsia="仿宋" w:cs="Times New Roman"/>
                <w:sz w:val="21"/>
                <w:szCs w:val="21"/>
              </w:rPr>
              <w:t>4</w:t>
            </w:r>
          </w:p>
        </w:tc>
        <w:tc>
          <w:tcPr>
            <w:tcW w:w="949" w:type="dxa"/>
            <w:vMerge w:val="restart"/>
            <w:vAlign w:val="center"/>
          </w:tcPr>
          <w:p>
            <w:pPr>
              <w:pStyle w:val="45"/>
              <w:rPr>
                <w:rFonts w:eastAsia="仿宋" w:cs="Times New Roman"/>
                <w:sz w:val="21"/>
                <w:szCs w:val="21"/>
              </w:rPr>
            </w:pPr>
            <w:r>
              <w:rPr>
                <w:rFonts w:hint="eastAsia" w:eastAsia="仿宋" w:cs="Times New Roman"/>
                <w:sz w:val="21"/>
                <w:szCs w:val="21"/>
              </w:rPr>
              <w:t>防火</w:t>
            </w:r>
          </w:p>
        </w:tc>
        <w:tc>
          <w:tcPr>
            <w:tcW w:w="2529" w:type="dxa"/>
            <w:vAlign w:val="center"/>
          </w:tcPr>
          <w:p>
            <w:pPr>
              <w:pStyle w:val="45"/>
              <w:rPr>
                <w:rFonts w:eastAsia="仿宋" w:cs="Times New Roman"/>
                <w:sz w:val="21"/>
                <w:szCs w:val="21"/>
              </w:rPr>
            </w:pPr>
            <w:r>
              <w:rPr>
                <w:rFonts w:hint="eastAsia" w:eastAsia="仿宋" w:cs="Times New Roman"/>
                <w:sz w:val="21"/>
                <w:szCs w:val="21"/>
              </w:rPr>
              <w:t>消防车</w:t>
            </w:r>
          </w:p>
        </w:tc>
        <w:tc>
          <w:tcPr>
            <w:tcW w:w="702" w:type="dxa"/>
            <w:vAlign w:val="center"/>
          </w:tcPr>
          <w:p>
            <w:pPr>
              <w:pStyle w:val="45"/>
              <w:rPr>
                <w:rFonts w:eastAsia="仿宋" w:cs="Times New Roman"/>
                <w:sz w:val="21"/>
                <w:szCs w:val="21"/>
              </w:rPr>
            </w:pPr>
            <w:r>
              <w:rPr>
                <w:rFonts w:hint="eastAsia" w:eastAsia="仿宋" w:cs="Times New Roman"/>
                <w:sz w:val="21"/>
                <w:szCs w:val="21"/>
              </w:rPr>
              <w:t>辆</w:t>
            </w:r>
          </w:p>
        </w:tc>
        <w:tc>
          <w:tcPr>
            <w:tcW w:w="707" w:type="dxa"/>
            <w:vAlign w:val="center"/>
          </w:tcPr>
          <w:p>
            <w:pPr>
              <w:pStyle w:val="45"/>
              <w:rPr>
                <w:rFonts w:eastAsia="仿宋" w:cs="Times New Roman"/>
                <w:sz w:val="21"/>
                <w:szCs w:val="21"/>
              </w:rPr>
            </w:pPr>
            <w:r>
              <w:rPr>
                <w:rFonts w:hint="eastAsia" w:eastAsia="仿宋" w:cs="Times New Roman"/>
                <w:sz w:val="21"/>
                <w:szCs w:val="21"/>
              </w:rPr>
              <w:t>1</w:t>
            </w:r>
          </w:p>
        </w:tc>
        <w:tc>
          <w:tcPr>
            <w:tcW w:w="1364" w:type="dxa"/>
            <w:vAlign w:val="center"/>
          </w:tcPr>
          <w:p>
            <w:pPr>
              <w:pStyle w:val="45"/>
              <w:rPr>
                <w:rFonts w:eastAsia="仿宋" w:cs="Times New Roman"/>
                <w:sz w:val="21"/>
                <w:szCs w:val="21"/>
              </w:rPr>
            </w:pPr>
          </w:p>
        </w:tc>
        <w:tc>
          <w:tcPr>
            <w:tcW w:w="851" w:type="dxa"/>
            <w:vAlign w:val="center"/>
          </w:tcPr>
          <w:p>
            <w:pPr>
              <w:pStyle w:val="45"/>
              <w:rPr>
                <w:rFonts w:eastAsia="仿宋" w:cs="Times New Roman"/>
                <w:sz w:val="21"/>
                <w:szCs w:val="21"/>
              </w:rPr>
            </w:pPr>
            <w:r>
              <w:rPr>
                <w:rFonts w:hint="eastAsia" w:eastAsia="仿宋" w:cs="Times New Roman"/>
                <w:sz w:val="21"/>
                <w:szCs w:val="21"/>
              </w:rPr>
              <w:t>√</w:t>
            </w:r>
          </w:p>
        </w:tc>
        <w:tc>
          <w:tcPr>
            <w:tcW w:w="822"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dxa"/>
            <w:vMerge w:val="continue"/>
            <w:vAlign w:val="center"/>
          </w:tcPr>
          <w:p>
            <w:pPr>
              <w:pStyle w:val="45"/>
              <w:rPr>
                <w:rFonts w:eastAsia="仿宋" w:cs="Times New Roman"/>
                <w:sz w:val="21"/>
                <w:szCs w:val="21"/>
              </w:rPr>
            </w:pPr>
          </w:p>
        </w:tc>
        <w:tc>
          <w:tcPr>
            <w:tcW w:w="949" w:type="dxa"/>
            <w:vMerge w:val="continue"/>
            <w:vAlign w:val="center"/>
          </w:tcPr>
          <w:p>
            <w:pPr>
              <w:pStyle w:val="45"/>
              <w:rPr>
                <w:rFonts w:eastAsia="仿宋" w:cs="Times New Roman"/>
                <w:sz w:val="21"/>
                <w:szCs w:val="21"/>
              </w:rPr>
            </w:pPr>
          </w:p>
        </w:tc>
        <w:tc>
          <w:tcPr>
            <w:tcW w:w="2529" w:type="dxa"/>
            <w:vAlign w:val="center"/>
          </w:tcPr>
          <w:p>
            <w:pPr>
              <w:pStyle w:val="45"/>
              <w:rPr>
                <w:rFonts w:eastAsia="仿宋" w:cs="Times New Roman"/>
                <w:sz w:val="21"/>
                <w:szCs w:val="21"/>
              </w:rPr>
            </w:pPr>
            <w:r>
              <w:rPr>
                <w:rFonts w:eastAsia="仿宋" w:cs="Times New Roman"/>
                <w:sz w:val="21"/>
                <w:szCs w:val="21"/>
              </w:rPr>
              <w:t>高压抽水机</w:t>
            </w:r>
          </w:p>
        </w:tc>
        <w:tc>
          <w:tcPr>
            <w:tcW w:w="702" w:type="dxa"/>
            <w:vAlign w:val="center"/>
          </w:tcPr>
          <w:p>
            <w:pPr>
              <w:pStyle w:val="45"/>
              <w:rPr>
                <w:rFonts w:eastAsia="仿宋" w:cs="Times New Roman"/>
                <w:sz w:val="21"/>
                <w:szCs w:val="21"/>
              </w:rPr>
            </w:pPr>
            <w:r>
              <w:rPr>
                <w:rFonts w:eastAsia="仿宋" w:cs="Times New Roman"/>
                <w:sz w:val="21"/>
                <w:szCs w:val="21"/>
              </w:rPr>
              <w:t>台</w:t>
            </w:r>
          </w:p>
        </w:tc>
        <w:tc>
          <w:tcPr>
            <w:tcW w:w="707" w:type="dxa"/>
            <w:vAlign w:val="center"/>
          </w:tcPr>
          <w:p>
            <w:pPr>
              <w:pStyle w:val="45"/>
              <w:rPr>
                <w:rFonts w:eastAsia="仿宋" w:cs="Times New Roman"/>
                <w:sz w:val="21"/>
                <w:szCs w:val="21"/>
              </w:rPr>
            </w:pPr>
            <w:r>
              <w:rPr>
                <w:rFonts w:hint="eastAsia" w:eastAsia="仿宋" w:cs="Times New Roman"/>
                <w:sz w:val="21"/>
                <w:szCs w:val="21"/>
              </w:rPr>
              <w:t>30</w:t>
            </w:r>
          </w:p>
        </w:tc>
        <w:tc>
          <w:tcPr>
            <w:tcW w:w="1364" w:type="dxa"/>
            <w:vAlign w:val="center"/>
          </w:tcPr>
          <w:p>
            <w:pPr>
              <w:pStyle w:val="45"/>
              <w:rPr>
                <w:rFonts w:eastAsia="仿宋" w:cs="Times New Roman"/>
                <w:sz w:val="21"/>
                <w:szCs w:val="21"/>
              </w:rPr>
            </w:pPr>
          </w:p>
        </w:tc>
        <w:tc>
          <w:tcPr>
            <w:tcW w:w="851" w:type="dxa"/>
            <w:vAlign w:val="center"/>
          </w:tcPr>
          <w:p>
            <w:pPr>
              <w:pStyle w:val="45"/>
              <w:rPr>
                <w:rFonts w:eastAsia="仿宋" w:cs="Times New Roman"/>
                <w:sz w:val="21"/>
                <w:szCs w:val="21"/>
              </w:rPr>
            </w:pPr>
            <w:r>
              <w:rPr>
                <w:rFonts w:hint="eastAsia" w:eastAsia="仿宋" w:cs="Times New Roman"/>
                <w:sz w:val="21"/>
                <w:szCs w:val="21"/>
              </w:rPr>
              <w:t>√</w:t>
            </w:r>
          </w:p>
        </w:tc>
        <w:tc>
          <w:tcPr>
            <w:tcW w:w="822"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dxa"/>
            <w:vMerge w:val="continue"/>
            <w:vAlign w:val="center"/>
          </w:tcPr>
          <w:p>
            <w:pPr>
              <w:pStyle w:val="45"/>
              <w:rPr>
                <w:rFonts w:eastAsia="仿宋" w:cs="Times New Roman"/>
                <w:sz w:val="21"/>
                <w:szCs w:val="21"/>
              </w:rPr>
            </w:pPr>
          </w:p>
        </w:tc>
        <w:tc>
          <w:tcPr>
            <w:tcW w:w="949" w:type="dxa"/>
            <w:vMerge w:val="continue"/>
            <w:vAlign w:val="center"/>
          </w:tcPr>
          <w:p>
            <w:pPr>
              <w:pStyle w:val="45"/>
              <w:rPr>
                <w:rFonts w:eastAsia="仿宋" w:cs="Times New Roman"/>
                <w:sz w:val="21"/>
                <w:szCs w:val="21"/>
              </w:rPr>
            </w:pPr>
          </w:p>
        </w:tc>
        <w:tc>
          <w:tcPr>
            <w:tcW w:w="2529" w:type="dxa"/>
            <w:vAlign w:val="center"/>
          </w:tcPr>
          <w:p>
            <w:pPr>
              <w:pStyle w:val="45"/>
              <w:rPr>
                <w:rFonts w:eastAsia="仿宋" w:cs="Times New Roman"/>
                <w:sz w:val="21"/>
                <w:szCs w:val="21"/>
              </w:rPr>
            </w:pPr>
            <w:r>
              <w:rPr>
                <w:rFonts w:eastAsia="仿宋" w:cs="Times New Roman"/>
                <w:sz w:val="21"/>
                <w:szCs w:val="21"/>
              </w:rPr>
              <w:t>无人机</w:t>
            </w:r>
          </w:p>
        </w:tc>
        <w:tc>
          <w:tcPr>
            <w:tcW w:w="702" w:type="dxa"/>
            <w:vAlign w:val="center"/>
          </w:tcPr>
          <w:p>
            <w:pPr>
              <w:pStyle w:val="45"/>
              <w:rPr>
                <w:rFonts w:eastAsia="仿宋" w:cs="Times New Roman"/>
                <w:sz w:val="21"/>
                <w:szCs w:val="21"/>
              </w:rPr>
            </w:pPr>
            <w:r>
              <w:rPr>
                <w:rFonts w:eastAsia="仿宋" w:cs="Times New Roman"/>
                <w:sz w:val="21"/>
                <w:szCs w:val="21"/>
              </w:rPr>
              <w:t>架</w:t>
            </w:r>
          </w:p>
        </w:tc>
        <w:tc>
          <w:tcPr>
            <w:tcW w:w="707" w:type="dxa"/>
            <w:vAlign w:val="center"/>
          </w:tcPr>
          <w:p>
            <w:pPr>
              <w:pStyle w:val="45"/>
              <w:rPr>
                <w:rFonts w:eastAsia="仿宋" w:cs="Times New Roman"/>
                <w:sz w:val="21"/>
                <w:szCs w:val="21"/>
              </w:rPr>
            </w:pPr>
            <w:r>
              <w:rPr>
                <w:rFonts w:hint="eastAsia" w:eastAsia="仿宋" w:cs="Times New Roman"/>
                <w:sz w:val="21"/>
                <w:szCs w:val="21"/>
              </w:rPr>
              <w:t>2</w:t>
            </w:r>
          </w:p>
        </w:tc>
        <w:tc>
          <w:tcPr>
            <w:tcW w:w="1364" w:type="dxa"/>
            <w:vAlign w:val="center"/>
          </w:tcPr>
          <w:p>
            <w:pPr>
              <w:pStyle w:val="45"/>
              <w:rPr>
                <w:rFonts w:eastAsia="仿宋" w:cs="Times New Roman"/>
                <w:sz w:val="21"/>
                <w:szCs w:val="21"/>
              </w:rPr>
            </w:pPr>
          </w:p>
        </w:tc>
        <w:tc>
          <w:tcPr>
            <w:tcW w:w="851" w:type="dxa"/>
            <w:vAlign w:val="center"/>
          </w:tcPr>
          <w:p>
            <w:pPr>
              <w:pStyle w:val="45"/>
              <w:rPr>
                <w:rFonts w:eastAsia="仿宋" w:cs="Times New Roman"/>
                <w:sz w:val="21"/>
                <w:szCs w:val="21"/>
              </w:rPr>
            </w:pPr>
            <w:r>
              <w:rPr>
                <w:rFonts w:hint="eastAsia" w:eastAsia="仿宋" w:cs="Times New Roman"/>
                <w:sz w:val="21"/>
                <w:szCs w:val="21"/>
              </w:rPr>
              <w:t>√</w:t>
            </w:r>
          </w:p>
        </w:tc>
        <w:tc>
          <w:tcPr>
            <w:tcW w:w="822"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dxa"/>
            <w:vMerge w:val="continue"/>
            <w:vAlign w:val="center"/>
          </w:tcPr>
          <w:p>
            <w:pPr>
              <w:pStyle w:val="45"/>
              <w:rPr>
                <w:rFonts w:eastAsia="仿宋" w:cs="Times New Roman"/>
                <w:sz w:val="21"/>
                <w:szCs w:val="21"/>
              </w:rPr>
            </w:pPr>
          </w:p>
        </w:tc>
        <w:tc>
          <w:tcPr>
            <w:tcW w:w="949" w:type="dxa"/>
            <w:vMerge w:val="continue"/>
            <w:vAlign w:val="center"/>
          </w:tcPr>
          <w:p>
            <w:pPr>
              <w:pStyle w:val="45"/>
              <w:rPr>
                <w:rFonts w:eastAsia="仿宋" w:cs="Times New Roman"/>
                <w:sz w:val="21"/>
                <w:szCs w:val="21"/>
              </w:rPr>
            </w:pPr>
          </w:p>
        </w:tc>
        <w:tc>
          <w:tcPr>
            <w:tcW w:w="2529" w:type="dxa"/>
            <w:vAlign w:val="center"/>
          </w:tcPr>
          <w:p>
            <w:pPr>
              <w:pStyle w:val="45"/>
              <w:rPr>
                <w:rFonts w:eastAsia="仿宋" w:cs="Times New Roman"/>
                <w:sz w:val="21"/>
                <w:szCs w:val="21"/>
              </w:rPr>
            </w:pPr>
            <w:r>
              <w:rPr>
                <w:rFonts w:eastAsia="仿宋" w:cs="Times New Roman"/>
                <w:sz w:val="21"/>
                <w:szCs w:val="21"/>
              </w:rPr>
              <w:t>消防服装</w:t>
            </w:r>
          </w:p>
        </w:tc>
        <w:tc>
          <w:tcPr>
            <w:tcW w:w="702" w:type="dxa"/>
            <w:vAlign w:val="center"/>
          </w:tcPr>
          <w:p>
            <w:pPr>
              <w:pStyle w:val="45"/>
              <w:rPr>
                <w:rFonts w:eastAsia="仿宋" w:cs="Times New Roman"/>
                <w:sz w:val="21"/>
                <w:szCs w:val="21"/>
              </w:rPr>
            </w:pPr>
            <w:r>
              <w:rPr>
                <w:rFonts w:eastAsia="仿宋" w:cs="Times New Roman"/>
                <w:sz w:val="21"/>
                <w:szCs w:val="21"/>
              </w:rPr>
              <w:t>套</w:t>
            </w:r>
          </w:p>
        </w:tc>
        <w:tc>
          <w:tcPr>
            <w:tcW w:w="707" w:type="dxa"/>
            <w:vAlign w:val="center"/>
          </w:tcPr>
          <w:p>
            <w:pPr>
              <w:pStyle w:val="45"/>
              <w:rPr>
                <w:rFonts w:eastAsia="仿宋" w:cs="Times New Roman"/>
                <w:sz w:val="21"/>
                <w:szCs w:val="21"/>
              </w:rPr>
            </w:pPr>
            <w:r>
              <w:rPr>
                <w:rFonts w:hint="eastAsia" w:eastAsia="仿宋" w:cs="Times New Roman"/>
                <w:sz w:val="21"/>
                <w:szCs w:val="21"/>
              </w:rPr>
              <w:t>120</w:t>
            </w:r>
          </w:p>
        </w:tc>
        <w:tc>
          <w:tcPr>
            <w:tcW w:w="1364" w:type="dxa"/>
            <w:vAlign w:val="center"/>
          </w:tcPr>
          <w:p>
            <w:pPr>
              <w:pStyle w:val="45"/>
              <w:rPr>
                <w:rFonts w:eastAsia="仿宋" w:cs="Times New Roman"/>
                <w:sz w:val="21"/>
                <w:szCs w:val="21"/>
              </w:rPr>
            </w:pPr>
          </w:p>
        </w:tc>
        <w:tc>
          <w:tcPr>
            <w:tcW w:w="851" w:type="dxa"/>
            <w:vAlign w:val="center"/>
          </w:tcPr>
          <w:p>
            <w:pPr>
              <w:pStyle w:val="45"/>
              <w:rPr>
                <w:rFonts w:eastAsia="仿宋" w:cs="Times New Roman"/>
                <w:sz w:val="21"/>
                <w:szCs w:val="21"/>
              </w:rPr>
            </w:pPr>
            <w:r>
              <w:rPr>
                <w:rFonts w:hint="eastAsia" w:eastAsia="仿宋" w:cs="Times New Roman"/>
                <w:sz w:val="21"/>
                <w:szCs w:val="21"/>
              </w:rPr>
              <w:t>√</w:t>
            </w:r>
          </w:p>
        </w:tc>
        <w:tc>
          <w:tcPr>
            <w:tcW w:w="822"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dxa"/>
            <w:vMerge w:val="continue"/>
            <w:vAlign w:val="center"/>
          </w:tcPr>
          <w:p>
            <w:pPr>
              <w:pStyle w:val="45"/>
              <w:rPr>
                <w:rFonts w:eastAsia="仿宋" w:cs="Times New Roman"/>
                <w:sz w:val="21"/>
                <w:szCs w:val="21"/>
              </w:rPr>
            </w:pPr>
          </w:p>
        </w:tc>
        <w:tc>
          <w:tcPr>
            <w:tcW w:w="949" w:type="dxa"/>
            <w:vMerge w:val="continue"/>
            <w:vAlign w:val="center"/>
          </w:tcPr>
          <w:p>
            <w:pPr>
              <w:pStyle w:val="45"/>
              <w:rPr>
                <w:rFonts w:eastAsia="仿宋" w:cs="Times New Roman"/>
                <w:sz w:val="21"/>
                <w:szCs w:val="21"/>
              </w:rPr>
            </w:pPr>
          </w:p>
        </w:tc>
        <w:tc>
          <w:tcPr>
            <w:tcW w:w="2529" w:type="dxa"/>
            <w:vAlign w:val="center"/>
          </w:tcPr>
          <w:p>
            <w:pPr>
              <w:pStyle w:val="45"/>
              <w:rPr>
                <w:rFonts w:eastAsia="仿宋" w:cs="Times New Roman"/>
                <w:sz w:val="21"/>
                <w:szCs w:val="21"/>
              </w:rPr>
            </w:pPr>
            <w:r>
              <w:rPr>
                <w:rFonts w:eastAsia="仿宋" w:cs="Times New Roman"/>
                <w:sz w:val="21"/>
                <w:szCs w:val="21"/>
              </w:rPr>
              <w:t>扑火工具设备</w:t>
            </w:r>
          </w:p>
        </w:tc>
        <w:tc>
          <w:tcPr>
            <w:tcW w:w="702" w:type="dxa"/>
            <w:vAlign w:val="center"/>
          </w:tcPr>
          <w:p>
            <w:pPr>
              <w:pStyle w:val="45"/>
              <w:rPr>
                <w:rFonts w:eastAsia="仿宋" w:cs="Times New Roman"/>
                <w:sz w:val="21"/>
                <w:szCs w:val="21"/>
              </w:rPr>
            </w:pPr>
            <w:r>
              <w:rPr>
                <w:rFonts w:eastAsia="仿宋" w:cs="Times New Roman"/>
                <w:sz w:val="21"/>
                <w:szCs w:val="21"/>
              </w:rPr>
              <w:t>套</w:t>
            </w:r>
          </w:p>
        </w:tc>
        <w:tc>
          <w:tcPr>
            <w:tcW w:w="707" w:type="dxa"/>
            <w:vAlign w:val="center"/>
          </w:tcPr>
          <w:p>
            <w:pPr>
              <w:pStyle w:val="45"/>
              <w:rPr>
                <w:rFonts w:eastAsia="仿宋" w:cs="Times New Roman"/>
                <w:sz w:val="21"/>
                <w:szCs w:val="21"/>
              </w:rPr>
            </w:pPr>
            <w:r>
              <w:rPr>
                <w:rFonts w:hint="eastAsia" w:eastAsia="仿宋" w:cs="Times New Roman"/>
                <w:sz w:val="21"/>
                <w:szCs w:val="21"/>
              </w:rPr>
              <w:t>500</w:t>
            </w:r>
          </w:p>
        </w:tc>
        <w:tc>
          <w:tcPr>
            <w:tcW w:w="1364" w:type="dxa"/>
            <w:vAlign w:val="center"/>
          </w:tcPr>
          <w:p>
            <w:pPr>
              <w:pStyle w:val="45"/>
              <w:rPr>
                <w:rFonts w:eastAsia="仿宋" w:cs="Times New Roman"/>
                <w:sz w:val="21"/>
                <w:szCs w:val="21"/>
              </w:rPr>
            </w:pPr>
          </w:p>
        </w:tc>
        <w:tc>
          <w:tcPr>
            <w:tcW w:w="851" w:type="dxa"/>
            <w:vAlign w:val="center"/>
          </w:tcPr>
          <w:p>
            <w:pPr>
              <w:pStyle w:val="45"/>
              <w:rPr>
                <w:rFonts w:eastAsia="仿宋" w:cs="Times New Roman"/>
                <w:sz w:val="21"/>
                <w:szCs w:val="21"/>
              </w:rPr>
            </w:pPr>
            <w:r>
              <w:rPr>
                <w:rFonts w:hint="eastAsia" w:eastAsia="仿宋" w:cs="Times New Roman"/>
                <w:sz w:val="21"/>
                <w:szCs w:val="21"/>
              </w:rPr>
              <w:t>√</w:t>
            </w:r>
          </w:p>
        </w:tc>
        <w:tc>
          <w:tcPr>
            <w:tcW w:w="822"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dxa"/>
            <w:vMerge w:val="continue"/>
            <w:vAlign w:val="center"/>
          </w:tcPr>
          <w:p>
            <w:pPr>
              <w:pStyle w:val="45"/>
              <w:rPr>
                <w:rFonts w:eastAsia="仿宋" w:cs="Times New Roman"/>
                <w:sz w:val="21"/>
                <w:szCs w:val="21"/>
              </w:rPr>
            </w:pPr>
          </w:p>
        </w:tc>
        <w:tc>
          <w:tcPr>
            <w:tcW w:w="949" w:type="dxa"/>
            <w:vMerge w:val="continue"/>
            <w:vAlign w:val="center"/>
          </w:tcPr>
          <w:p>
            <w:pPr>
              <w:pStyle w:val="45"/>
              <w:rPr>
                <w:rFonts w:eastAsia="仿宋" w:cs="Times New Roman"/>
                <w:sz w:val="21"/>
                <w:szCs w:val="21"/>
              </w:rPr>
            </w:pPr>
          </w:p>
        </w:tc>
        <w:tc>
          <w:tcPr>
            <w:tcW w:w="2529" w:type="dxa"/>
            <w:vAlign w:val="center"/>
          </w:tcPr>
          <w:p>
            <w:pPr>
              <w:pStyle w:val="45"/>
              <w:rPr>
                <w:rFonts w:eastAsia="仿宋" w:cs="Times New Roman"/>
                <w:sz w:val="21"/>
                <w:szCs w:val="21"/>
              </w:rPr>
            </w:pPr>
            <w:r>
              <w:rPr>
                <w:rFonts w:hint="eastAsia" w:eastAsia="仿宋" w:cs="Times New Roman"/>
                <w:sz w:val="21"/>
                <w:szCs w:val="21"/>
              </w:rPr>
              <w:t>防灭火蓄水池</w:t>
            </w:r>
          </w:p>
        </w:tc>
        <w:tc>
          <w:tcPr>
            <w:tcW w:w="702" w:type="dxa"/>
            <w:vAlign w:val="center"/>
          </w:tcPr>
          <w:p>
            <w:pPr>
              <w:pStyle w:val="45"/>
              <w:rPr>
                <w:rFonts w:eastAsia="仿宋" w:cs="Times New Roman"/>
                <w:sz w:val="21"/>
                <w:szCs w:val="21"/>
              </w:rPr>
            </w:pPr>
            <w:r>
              <w:rPr>
                <w:rFonts w:hint="eastAsia" w:eastAsia="仿宋" w:cs="Times New Roman"/>
                <w:sz w:val="21"/>
                <w:szCs w:val="21"/>
              </w:rPr>
              <w:t>个</w:t>
            </w:r>
          </w:p>
        </w:tc>
        <w:tc>
          <w:tcPr>
            <w:tcW w:w="707" w:type="dxa"/>
            <w:vAlign w:val="center"/>
          </w:tcPr>
          <w:p>
            <w:pPr>
              <w:pStyle w:val="45"/>
              <w:rPr>
                <w:rFonts w:eastAsia="仿宋" w:cs="Times New Roman"/>
                <w:sz w:val="21"/>
                <w:szCs w:val="21"/>
              </w:rPr>
            </w:pPr>
            <w:r>
              <w:rPr>
                <w:rFonts w:hint="eastAsia" w:eastAsia="仿宋" w:cs="Times New Roman"/>
                <w:sz w:val="21"/>
                <w:szCs w:val="21"/>
              </w:rPr>
              <w:t>50</w:t>
            </w:r>
          </w:p>
        </w:tc>
        <w:tc>
          <w:tcPr>
            <w:tcW w:w="1364" w:type="dxa"/>
            <w:vAlign w:val="center"/>
          </w:tcPr>
          <w:p>
            <w:pPr>
              <w:pStyle w:val="45"/>
              <w:rPr>
                <w:rFonts w:eastAsia="仿宋" w:cs="Times New Roman"/>
                <w:sz w:val="21"/>
                <w:szCs w:val="21"/>
              </w:rPr>
            </w:pPr>
            <w:r>
              <w:rPr>
                <w:rFonts w:hint="eastAsia" w:eastAsia="仿宋" w:cs="Times New Roman"/>
                <w:sz w:val="21"/>
                <w:szCs w:val="21"/>
              </w:rPr>
              <w:t>全园林区</w:t>
            </w:r>
          </w:p>
        </w:tc>
        <w:tc>
          <w:tcPr>
            <w:tcW w:w="851" w:type="dxa"/>
            <w:vAlign w:val="center"/>
          </w:tcPr>
          <w:p>
            <w:pPr>
              <w:pStyle w:val="45"/>
              <w:rPr>
                <w:rFonts w:eastAsia="仿宋" w:cs="Times New Roman"/>
                <w:sz w:val="21"/>
                <w:szCs w:val="21"/>
              </w:rPr>
            </w:pPr>
            <w:r>
              <w:rPr>
                <w:rFonts w:hint="eastAsia" w:eastAsia="仿宋" w:cs="Times New Roman"/>
                <w:sz w:val="21"/>
                <w:szCs w:val="21"/>
              </w:rPr>
              <w:t>√</w:t>
            </w:r>
          </w:p>
        </w:tc>
        <w:tc>
          <w:tcPr>
            <w:tcW w:w="822"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dxa"/>
            <w:vMerge w:val="continue"/>
            <w:vAlign w:val="center"/>
          </w:tcPr>
          <w:p>
            <w:pPr>
              <w:pStyle w:val="45"/>
              <w:rPr>
                <w:rFonts w:eastAsia="仿宋" w:cs="Times New Roman"/>
                <w:sz w:val="21"/>
                <w:szCs w:val="21"/>
              </w:rPr>
            </w:pPr>
          </w:p>
        </w:tc>
        <w:tc>
          <w:tcPr>
            <w:tcW w:w="949" w:type="dxa"/>
            <w:vMerge w:val="continue"/>
            <w:vAlign w:val="center"/>
          </w:tcPr>
          <w:p>
            <w:pPr>
              <w:pStyle w:val="45"/>
              <w:rPr>
                <w:rFonts w:eastAsia="仿宋" w:cs="Times New Roman"/>
                <w:sz w:val="21"/>
                <w:szCs w:val="21"/>
              </w:rPr>
            </w:pPr>
          </w:p>
        </w:tc>
        <w:tc>
          <w:tcPr>
            <w:tcW w:w="2529" w:type="dxa"/>
            <w:vAlign w:val="center"/>
          </w:tcPr>
          <w:p>
            <w:pPr>
              <w:pStyle w:val="45"/>
              <w:rPr>
                <w:rFonts w:eastAsia="仿宋" w:cs="Times New Roman"/>
                <w:sz w:val="21"/>
                <w:szCs w:val="21"/>
              </w:rPr>
            </w:pPr>
            <w:r>
              <w:rPr>
                <w:rFonts w:hint="eastAsia" w:eastAsia="仿宋" w:cs="Times New Roman"/>
                <w:sz w:val="21"/>
                <w:szCs w:val="21"/>
              </w:rPr>
              <w:t>防灭火隔离带</w:t>
            </w:r>
          </w:p>
        </w:tc>
        <w:tc>
          <w:tcPr>
            <w:tcW w:w="702" w:type="dxa"/>
            <w:vAlign w:val="center"/>
          </w:tcPr>
          <w:p>
            <w:pPr>
              <w:pStyle w:val="45"/>
              <w:rPr>
                <w:rFonts w:eastAsia="仿宋" w:cs="Times New Roman"/>
                <w:sz w:val="21"/>
                <w:szCs w:val="21"/>
              </w:rPr>
            </w:pPr>
            <w:r>
              <w:rPr>
                <w:rFonts w:hint="eastAsia" w:eastAsia="仿宋" w:cs="Times New Roman"/>
                <w:sz w:val="21"/>
                <w:szCs w:val="21"/>
              </w:rPr>
              <w:t>千米</w:t>
            </w:r>
          </w:p>
        </w:tc>
        <w:tc>
          <w:tcPr>
            <w:tcW w:w="707" w:type="dxa"/>
            <w:vAlign w:val="center"/>
          </w:tcPr>
          <w:p>
            <w:pPr>
              <w:pStyle w:val="45"/>
              <w:rPr>
                <w:rFonts w:eastAsia="仿宋" w:cs="Times New Roman"/>
                <w:sz w:val="21"/>
                <w:szCs w:val="21"/>
              </w:rPr>
            </w:pPr>
            <w:r>
              <w:rPr>
                <w:rFonts w:hint="eastAsia" w:eastAsia="仿宋" w:cs="Times New Roman"/>
                <w:sz w:val="21"/>
                <w:szCs w:val="21"/>
              </w:rPr>
              <w:t>200</w:t>
            </w:r>
          </w:p>
        </w:tc>
        <w:tc>
          <w:tcPr>
            <w:tcW w:w="1364" w:type="dxa"/>
            <w:vAlign w:val="center"/>
          </w:tcPr>
          <w:p>
            <w:pPr>
              <w:pStyle w:val="45"/>
              <w:rPr>
                <w:rFonts w:eastAsia="仿宋" w:cs="Times New Roman"/>
                <w:sz w:val="21"/>
                <w:szCs w:val="21"/>
              </w:rPr>
            </w:pPr>
            <w:r>
              <w:rPr>
                <w:rFonts w:hint="eastAsia" w:eastAsia="仿宋" w:cs="Times New Roman"/>
                <w:sz w:val="21"/>
                <w:szCs w:val="21"/>
              </w:rPr>
              <w:t>全园林区</w:t>
            </w:r>
          </w:p>
        </w:tc>
        <w:tc>
          <w:tcPr>
            <w:tcW w:w="851" w:type="dxa"/>
            <w:vAlign w:val="center"/>
          </w:tcPr>
          <w:p>
            <w:pPr>
              <w:pStyle w:val="45"/>
              <w:rPr>
                <w:rFonts w:eastAsia="仿宋" w:cs="Times New Roman"/>
                <w:sz w:val="21"/>
                <w:szCs w:val="21"/>
              </w:rPr>
            </w:pPr>
          </w:p>
        </w:tc>
        <w:tc>
          <w:tcPr>
            <w:tcW w:w="822"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dxa"/>
            <w:vMerge w:val="continue"/>
            <w:vAlign w:val="center"/>
          </w:tcPr>
          <w:p>
            <w:pPr>
              <w:pStyle w:val="45"/>
              <w:rPr>
                <w:rFonts w:eastAsia="仿宋" w:cs="Times New Roman"/>
                <w:sz w:val="21"/>
                <w:szCs w:val="21"/>
              </w:rPr>
            </w:pPr>
          </w:p>
        </w:tc>
        <w:tc>
          <w:tcPr>
            <w:tcW w:w="949" w:type="dxa"/>
            <w:vMerge w:val="continue"/>
            <w:vAlign w:val="center"/>
          </w:tcPr>
          <w:p>
            <w:pPr>
              <w:pStyle w:val="45"/>
              <w:rPr>
                <w:rFonts w:eastAsia="仿宋" w:cs="Times New Roman"/>
                <w:sz w:val="21"/>
                <w:szCs w:val="21"/>
              </w:rPr>
            </w:pPr>
          </w:p>
        </w:tc>
        <w:tc>
          <w:tcPr>
            <w:tcW w:w="2529" w:type="dxa"/>
            <w:vAlign w:val="center"/>
          </w:tcPr>
          <w:p>
            <w:pPr>
              <w:pStyle w:val="45"/>
              <w:rPr>
                <w:rFonts w:eastAsia="仿宋" w:cs="Times New Roman"/>
                <w:sz w:val="21"/>
                <w:szCs w:val="21"/>
              </w:rPr>
            </w:pPr>
            <w:r>
              <w:rPr>
                <w:rFonts w:hint="eastAsia" w:eastAsia="仿宋" w:cs="Times New Roman"/>
                <w:sz w:val="21"/>
                <w:szCs w:val="21"/>
              </w:rPr>
              <w:t>直升机停机坪</w:t>
            </w:r>
          </w:p>
        </w:tc>
        <w:tc>
          <w:tcPr>
            <w:tcW w:w="702" w:type="dxa"/>
            <w:vAlign w:val="center"/>
          </w:tcPr>
          <w:p>
            <w:pPr>
              <w:pStyle w:val="45"/>
              <w:rPr>
                <w:rFonts w:eastAsia="仿宋" w:cs="Times New Roman"/>
                <w:sz w:val="21"/>
                <w:szCs w:val="21"/>
              </w:rPr>
            </w:pPr>
            <w:r>
              <w:rPr>
                <w:rFonts w:hint="eastAsia" w:eastAsia="仿宋" w:cs="Times New Roman"/>
                <w:sz w:val="21"/>
                <w:szCs w:val="21"/>
              </w:rPr>
              <w:t>个</w:t>
            </w:r>
          </w:p>
        </w:tc>
        <w:tc>
          <w:tcPr>
            <w:tcW w:w="707" w:type="dxa"/>
            <w:vAlign w:val="center"/>
          </w:tcPr>
          <w:p>
            <w:pPr>
              <w:pStyle w:val="45"/>
              <w:rPr>
                <w:rFonts w:eastAsia="仿宋" w:cs="Times New Roman"/>
                <w:sz w:val="21"/>
                <w:szCs w:val="21"/>
              </w:rPr>
            </w:pPr>
            <w:r>
              <w:rPr>
                <w:rFonts w:hint="eastAsia" w:eastAsia="仿宋" w:cs="Times New Roman"/>
                <w:sz w:val="21"/>
                <w:szCs w:val="21"/>
              </w:rPr>
              <w:t>1</w:t>
            </w:r>
          </w:p>
        </w:tc>
        <w:tc>
          <w:tcPr>
            <w:tcW w:w="1364" w:type="dxa"/>
            <w:vAlign w:val="center"/>
          </w:tcPr>
          <w:p>
            <w:pPr>
              <w:pStyle w:val="45"/>
              <w:rPr>
                <w:rFonts w:eastAsia="仿宋" w:cs="Times New Roman"/>
                <w:sz w:val="21"/>
                <w:szCs w:val="21"/>
              </w:rPr>
            </w:pPr>
            <w:r>
              <w:rPr>
                <w:rFonts w:hint="eastAsia" w:eastAsia="仿宋" w:cs="Times New Roman"/>
                <w:sz w:val="21"/>
                <w:szCs w:val="21"/>
              </w:rPr>
              <w:t>八户山</w:t>
            </w:r>
          </w:p>
        </w:tc>
        <w:tc>
          <w:tcPr>
            <w:tcW w:w="851" w:type="dxa"/>
            <w:vAlign w:val="center"/>
          </w:tcPr>
          <w:p>
            <w:pPr>
              <w:pStyle w:val="45"/>
              <w:rPr>
                <w:rFonts w:eastAsia="仿宋" w:cs="Times New Roman"/>
                <w:sz w:val="21"/>
                <w:szCs w:val="21"/>
              </w:rPr>
            </w:pPr>
          </w:p>
        </w:tc>
        <w:tc>
          <w:tcPr>
            <w:tcW w:w="822"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dxa"/>
            <w:vMerge w:val="continue"/>
            <w:vAlign w:val="center"/>
          </w:tcPr>
          <w:p>
            <w:pPr>
              <w:pStyle w:val="45"/>
              <w:rPr>
                <w:rFonts w:eastAsia="仿宋" w:cs="Times New Roman"/>
                <w:sz w:val="21"/>
                <w:szCs w:val="21"/>
              </w:rPr>
            </w:pPr>
          </w:p>
        </w:tc>
        <w:tc>
          <w:tcPr>
            <w:tcW w:w="949" w:type="dxa"/>
            <w:vMerge w:val="continue"/>
            <w:vAlign w:val="center"/>
          </w:tcPr>
          <w:p>
            <w:pPr>
              <w:pStyle w:val="45"/>
              <w:rPr>
                <w:rFonts w:eastAsia="仿宋" w:cs="Times New Roman"/>
                <w:sz w:val="21"/>
                <w:szCs w:val="21"/>
              </w:rPr>
            </w:pPr>
          </w:p>
        </w:tc>
        <w:tc>
          <w:tcPr>
            <w:tcW w:w="2529" w:type="dxa"/>
            <w:vAlign w:val="center"/>
          </w:tcPr>
          <w:p>
            <w:pPr>
              <w:pStyle w:val="45"/>
              <w:rPr>
                <w:rFonts w:eastAsia="仿宋" w:cs="Times New Roman"/>
                <w:sz w:val="21"/>
                <w:szCs w:val="21"/>
              </w:rPr>
            </w:pPr>
            <w:r>
              <w:rPr>
                <w:rFonts w:hint="eastAsia" w:eastAsia="仿宋" w:cs="Times New Roman"/>
                <w:sz w:val="21"/>
                <w:szCs w:val="21"/>
              </w:rPr>
              <w:t>防火宣传牌</w:t>
            </w:r>
          </w:p>
        </w:tc>
        <w:tc>
          <w:tcPr>
            <w:tcW w:w="702" w:type="dxa"/>
            <w:vAlign w:val="center"/>
          </w:tcPr>
          <w:p>
            <w:pPr>
              <w:pStyle w:val="45"/>
              <w:rPr>
                <w:rFonts w:eastAsia="仿宋" w:cs="Times New Roman"/>
                <w:sz w:val="21"/>
                <w:szCs w:val="21"/>
              </w:rPr>
            </w:pPr>
            <w:r>
              <w:rPr>
                <w:rFonts w:hint="eastAsia" w:eastAsia="仿宋" w:cs="Times New Roman"/>
                <w:sz w:val="21"/>
                <w:szCs w:val="21"/>
              </w:rPr>
              <w:t>块</w:t>
            </w:r>
          </w:p>
        </w:tc>
        <w:tc>
          <w:tcPr>
            <w:tcW w:w="707" w:type="dxa"/>
            <w:vAlign w:val="center"/>
          </w:tcPr>
          <w:p>
            <w:pPr>
              <w:pStyle w:val="45"/>
              <w:rPr>
                <w:rFonts w:eastAsia="仿宋" w:cs="Times New Roman"/>
                <w:sz w:val="21"/>
                <w:szCs w:val="21"/>
              </w:rPr>
            </w:pPr>
            <w:r>
              <w:rPr>
                <w:rFonts w:hint="eastAsia" w:eastAsia="仿宋" w:cs="Times New Roman"/>
                <w:sz w:val="21"/>
                <w:szCs w:val="21"/>
              </w:rPr>
              <w:t>100</w:t>
            </w:r>
          </w:p>
        </w:tc>
        <w:tc>
          <w:tcPr>
            <w:tcW w:w="1364" w:type="dxa"/>
            <w:vAlign w:val="center"/>
          </w:tcPr>
          <w:p>
            <w:pPr>
              <w:pStyle w:val="45"/>
              <w:rPr>
                <w:rFonts w:eastAsia="仿宋" w:cs="Times New Roman"/>
                <w:sz w:val="21"/>
                <w:szCs w:val="21"/>
              </w:rPr>
            </w:pPr>
            <w:r>
              <w:rPr>
                <w:rFonts w:hint="eastAsia" w:eastAsia="仿宋" w:cs="Times New Roman"/>
                <w:sz w:val="21"/>
                <w:szCs w:val="21"/>
              </w:rPr>
              <w:t>全园</w:t>
            </w:r>
          </w:p>
        </w:tc>
        <w:tc>
          <w:tcPr>
            <w:tcW w:w="851" w:type="dxa"/>
            <w:vAlign w:val="center"/>
          </w:tcPr>
          <w:p>
            <w:pPr>
              <w:pStyle w:val="45"/>
              <w:rPr>
                <w:rFonts w:eastAsia="仿宋" w:cs="Times New Roman"/>
                <w:sz w:val="21"/>
                <w:szCs w:val="21"/>
              </w:rPr>
            </w:pPr>
            <w:r>
              <w:rPr>
                <w:rFonts w:hint="eastAsia" w:eastAsia="仿宋" w:cs="Times New Roman"/>
                <w:sz w:val="21"/>
                <w:szCs w:val="21"/>
              </w:rPr>
              <w:t>√</w:t>
            </w:r>
          </w:p>
        </w:tc>
        <w:tc>
          <w:tcPr>
            <w:tcW w:w="822"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dxa"/>
            <w:vMerge w:val="restart"/>
            <w:vAlign w:val="center"/>
          </w:tcPr>
          <w:p>
            <w:pPr>
              <w:pStyle w:val="45"/>
              <w:rPr>
                <w:rFonts w:eastAsia="仿宋" w:cs="Times New Roman"/>
                <w:sz w:val="21"/>
                <w:szCs w:val="21"/>
              </w:rPr>
            </w:pPr>
            <w:r>
              <w:rPr>
                <w:rFonts w:eastAsia="仿宋" w:cs="Times New Roman"/>
                <w:sz w:val="21"/>
                <w:szCs w:val="21"/>
              </w:rPr>
              <w:t>5</w:t>
            </w:r>
          </w:p>
        </w:tc>
        <w:tc>
          <w:tcPr>
            <w:tcW w:w="949" w:type="dxa"/>
            <w:vMerge w:val="restart"/>
            <w:vAlign w:val="center"/>
          </w:tcPr>
          <w:p>
            <w:pPr>
              <w:pStyle w:val="45"/>
              <w:rPr>
                <w:rFonts w:eastAsia="仿宋" w:cs="Times New Roman"/>
                <w:sz w:val="21"/>
                <w:szCs w:val="21"/>
              </w:rPr>
            </w:pPr>
            <w:r>
              <w:rPr>
                <w:rFonts w:hint="eastAsia" w:eastAsia="仿宋" w:cs="Times New Roman"/>
                <w:sz w:val="21"/>
                <w:szCs w:val="21"/>
              </w:rPr>
              <w:t>应急救援安全</w:t>
            </w:r>
          </w:p>
        </w:tc>
        <w:tc>
          <w:tcPr>
            <w:tcW w:w="2529" w:type="dxa"/>
            <w:vAlign w:val="center"/>
          </w:tcPr>
          <w:p>
            <w:pPr>
              <w:pStyle w:val="45"/>
              <w:rPr>
                <w:rFonts w:eastAsia="仿宋" w:cs="Times New Roman"/>
                <w:sz w:val="21"/>
                <w:szCs w:val="21"/>
              </w:rPr>
            </w:pPr>
            <w:r>
              <w:rPr>
                <w:rFonts w:hint="eastAsia" w:eastAsia="仿宋" w:cs="Times New Roman"/>
                <w:sz w:val="21"/>
                <w:szCs w:val="21"/>
              </w:rPr>
              <w:t>突发事件应急预案</w:t>
            </w:r>
          </w:p>
        </w:tc>
        <w:tc>
          <w:tcPr>
            <w:tcW w:w="702" w:type="dxa"/>
            <w:vAlign w:val="center"/>
          </w:tcPr>
          <w:p>
            <w:pPr>
              <w:pStyle w:val="45"/>
              <w:rPr>
                <w:rFonts w:eastAsia="仿宋" w:cs="Times New Roman"/>
                <w:sz w:val="21"/>
                <w:szCs w:val="21"/>
              </w:rPr>
            </w:pPr>
            <w:r>
              <w:rPr>
                <w:rFonts w:hint="eastAsia" w:eastAsia="仿宋" w:cs="Times New Roman"/>
                <w:sz w:val="21"/>
                <w:szCs w:val="21"/>
              </w:rPr>
              <w:t>项</w:t>
            </w:r>
          </w:p>
        </w:tc>
        <w:tc>
          <w:tcPr>
            <w:tcW w:w="707" w:type="dxa"/>
            <w:vAlign w:val="center"/>
          </w:tcPr>
          <w:p>
            <w:pPr>
              <w:pStyle w:val="45"/>
              <w:rPr>
                <w:rFonts w:eastAsia="仿宋" w:cs="Times New Roman"/>
                <w:sz w:val="21"/>
                <w:szCs w:val="21"/>
              </w:rPr>
            </w:pPr>
            <w:r>
              <w:rPr>
                <w:rFonts w:eastAsia="仿宋" w:cs="Times New Roman"/>
                <w:sz w:val="21"/>
                <w:szCs w:val="21"/>
              </w:rPr>
              <w:t>1</w:t>
            </w:r>
          </w:p>
        </w:tc>
        <w:tc>
          <w:tcPr>
            <w:tcW w:w="1364" w:type="dxa"/>
            <w:vAlign w:val="center"/>
          </w:tcPr>
          <w:p>
            <w:pPr>
              <w:pStyle w:val="45"/>
              <w:rPr>
                <w:rFonts w:eastAsia="仿宋" w:cs="Times New Roman"/>
                <w:sz w:val="21"/>
                <w:szCs w:val="21"/>
              </w:rPr>
            </w:pPr>
          </w:p>
        </w:tc>
        <w:tc>
          <w:tcPr>
            <w:tcW w:w="851" w:type="dxa"/>
            <w:vAlign w:val="center"/>
          </w:tcPr>
          <w:p>
            <w:pPr>
              <w:pStyle w:val="45"/>
              <w:rPr>
                <w:rFonts w:eastAsia="仿宋" w:cs="Times New Roman"/>
                <w:sz w:val="21"/>
                <w:szCs w:val="21"/>
              </w:rPr>
            </w:pPr>
          </w:p>
        </w:tc>
        <w:tc>
          <w:tcPr>
            <w:tcW w:w="822"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dxa"/>
            <w:vMerge w:val="continue"/>
            <w:vAlign w:val="center"/>
          </w:tcPr>
          <w:p>
            <w:pPr>
              <w:pStyle w:val="45"/>
              <w:rPr>
                <w:rFonts w:eastAsia="仿宋" w:cs="Times New Roman"/>
                <w:sz w:val="21"/>
                <w:szCs w:val="21"/>
              </w:rPr>
            </w:pPr>
          </w:p>
        </w:tc>
        <w:tc>
          <w:tcPr>
            <w:tcW w:w="949" w:type="dxa"/>
            <w:vMerge w:val="continue"/>
            <w:vAlign w:val="center"/>
          </w:tcPr>
          <w:p>
            <w:pPr>
              <w:pStyle w:val="45"/>
              <w:rPr>
                <w:rFonts w:eastAsia="仿宋" w:cs="Times New Roman"/>
                <w:sz w:val="21"/>
                <w:szCs w:val="21"/>
              </w:rPr>
            </w:pPr>
          </w:p>
        </w:tc>
        <w:tc>
          <w:tcPr>
            <w:tcW w:w="2529" w:type="dxa"/>
            <w:vAlign w:val="center"/>
          </w:tcPr>
          <w:p>
            <w:pPr>
              <w:pStyle w:val="45"/>
              <w:rPr>
                <w:rFonts w:eastAsia="仿宋" w:cs="Times New Roman"/>
                <w:sz w:val="21"/>
                <w:szCs w:val="21"/>
              </w:rPr>
            </w:pPr>
            <w:r>
              <w:rPr>
                <w:rFonts w:hint="eastAsia" w:eastAsia="仿宋" w:cs="Times New Roman"/>
                <w:sz w:val="21"/>
                <w:szCs w:val="21"/>
              </w:rPr>
              <w:t>水上搜救船</w:t>
            </w:r>
          </w:p>
        </w:tc>
        <w:tc>
          <w:tcPr>
            <w:tcW w:w="702" w:type="dxa"/>
            <w:vAlign w:val="center"/>
          </w:tcPr>
          <w:p>
            <w:pPr>
              <w:pStyle w:val="45"/>
              <w:rPr>
                <w:rFonts w:eastAsia="仿宋" w:cs="Times New Roman"/>
                <w:sz w:val="21"/>
                <w:szCs w:val="21"/>
              </w:rPr>
            </w:pPr>
            <w:r>
              <w:rPr>
                <w:rFonts w:hint="eastAsia" w:eastAsia="仿宋" w:cs="Times New Roman"/>
                <w:sz w:val="21"/>
                <w:szCs w:val="21"/>
              </w:rPr>
              <w:t>艘</w:t>
            </w:r>
          </w:p>
        </w:tc>
        <w:tc>
          <w:tcPr>
            <w:tcW w:w="707" w:type="dxa"/>
            <w:vAlign w:val="center"/>
          </w:tcPr>
          <w:p>
            <w:pPr>
              <w:pStyle w:val="45"/>
              <w:rPr>
                <w:rFonts w:eastAsia="仿宋" w:cs="Times New Roman"/>
                <w:sz w:val="21"/>
                <w:szCs w:val="21"/>
              </w:rPr>
            </w:pPr>
            <w:r>
              <w:rPr>
                <w:rFonts w:eastAsia="仿宋" w:cs="Times New Roman"/>
                <w:sz w:val="21"/>
                <w:szCs w:val="21"/>
              </w:rPr>
              <w:t>2</w:t>
            </w:r>
          </w:p>
        </w:tc>
        <w:tc>
          <w:tcPr>
            <w:tcW w:w="1364" w:type="dxa"/>
            <w:vAlign w:val="center"/>
          </w:tcPr>
          <w:p>
            <w:pPr>
              <w:pStyle w:val="45"/>
              <w:rPr>
                <w:rFonts w:eastAsia="仿宋" w:cs="Times New Roman"/>
                <w:sz w:val="21"/>
                <w:szCs w:val="21"/>
              </w:rPr>
            </w:pPr>
          </w:p>
        </w:tc>
        <w:tc>
          <w:tcPr>
            <w:tcW w:w="851" w:type="dxa"/>
            <w:vAlign w:val="center"/>
          </w:tcPr>
          <w:p>
            <w:pPr>
              <w:pStyle w:val="45"/>
              <w:rPr>
                <w:rFonts w:eastAsia="仿宋" w:cs="Times New Roman"/>
                <w:sz w:val="21"/>
                <w:szCs w:val="21"/>
              </w:rPr>
            </w:pPr>
            <w:r>
              <w:rPr>
                <w:rFonts w:hint="eastAsia" w:eastAsia="仿宋" w:cs="Times New Roman"/>
                <w:sz w:val="21"/>
                <w:szCs w:val="21"/>
              </w:rPr>
              <w:t>√</w:t>
            </w:r>
          </w:p>
        </w:tc>
        <w:tc>
          <w:tcPr>
            <w:tcW w:w="822"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dxa"/>
            <w:vMerge w:val="continue"/>
            <w:vAlign w:val="center"/>
          </w:tcPr>
          <w:p>
            <w:pPr>
              <w:pStyle w:val="45"/>
              <w:rPr>
                <w:rFonts w:eastAsia="仿宋" w:cs="Times New Roman"/>
                <w:sz w:val="21"/>
                <w:szCs w:val="21"/>
              </w:rPr>
            </w:pPr>
          </w:p>
        </w:tc>
        <w:tc>
          <w:tcPr>
            <w:tcW w:w="949" w:type="dxa"/>
            <w:vMerge w:val="continue"/>
            <w:vAlign w:val="center"/>
          </w:tcPr>
          <w:p>
            <w:pPr>
              <w:pStyle w:val="45"/>
              <w:rPr>
                <w:rFonts w:eastAsia="仿宋" w:cs="Times New Roman"/>
                <w:sz w:val="21"/>
                <w:szCs w:val="21"/>
              </w:rPr>
            </w:pPr>
          </w:p>
        </w:tc>
        <w:tc>
          <w:tcPr>
            <w:tcW w:w="2529" w:type="dxa"/>
            <w:vAlign w:val="center"/>
          </w:tcPr>
          <w:p>
            <w:pPr>
              <w:pStyle w:val="45"/>
              <w:rPr>
                <w:rFonts w:eastAsia="仿宋" w:cs="Times New Roman"/>
                <w:sz w:val="21"/>
                <w:szCs w:val="21"/>
              </w:rPr>
            </w:pPr>
            <w:r>
              <w:rPr>
                <w:rFonts w:hint="eastAsia" w:eastAsia="仿宋" w:cs="Times New Roman"/>
                <w:sz w:val="21"/>
                <w:szCs w:val="21"/>
              </w:rPr>
              <w:t>水上摩托艇</w:t>
            </w:r>
          </w:p>
        </w:tc>
        <w:tc>
          <w:tcPr>
            <w:tcW w:w="702" w:type="dxa"/>
            <w:vAlign w:val="center"/>
          </w:tcPr>
          <w:p>
            <w:pPr>
              <w:pStyle w:val="45"/>
              <w:rPr>
                <w:rFonts w:eastAsia="仿宋" w:cs="Times New Roman"/>
                <w:sz w:val="21"/>
                <w:szCs w:val="21"/>
              </w:rPr>
            </w:pPr>
            <w:r>
              <w:rPr>
                <w:rFonts w:hint="eastAsia" w:eastAsia="仿宋" w:cs="Times New Roman"/>
                <w:sz w:val="21"/>
                <w:szCs w:val="21"/>
              </w:rPr>
              <w:t>艘</w:t>
            </w:r>
          </w:p>
        </w:tc>
        <w:tc>
          <w:tcPr>
            <w:tcW w:w="707" w:type="dxa"/>
            <w:vAlign w:val="center"/>
          </w:tcPr>
          <w:p>
            <w:pPr>
              <w:pStyle w:val="45"/>
              <w:rPr>
                <w:rFonts w:eastAsia="仿宋" w:cs="Times New Roman"/>
                <w:sz w:val="21"/>
                <w:szCs w:val="21"/>
              </w:rPr>
            </w:pPr>
            <w:r>
              <w:rPr>
                <w:rFonts w:hint="eastAsia" w:eastAsia="仿宋" w:cs="Times New Roman"/>
                <w:sz w:val="21"/>
                <w:szCs w:val="21"/>
              </w:rPr>
              <w:t>4</w:t>
            </w:r>
          </w:p>
        </w:tc>
        <w:tc>
          <w:tcPr>
            <w:tcW w:w="1364" w:type="dxa"/>
            <w:vAlign w:val="center"/>
          </w:tcPr>
          <w:p>
            <w:pPr>
              <w:pStyle w:val="45"/>
              <w:rPr>
                <w:rFonts w:eastAsia="仿宋" w:cs="Times New Roman"/>
                <w:sz w:val="21"/>
                <w:szCs w:val="21"/>
              </w:rPr>
            </w:pPr>
          </w:p>
        </w:tc>
        <w:tc>
          <w:tcPr>
            <w:tcW w:w="851" w:type="dxa"/>
            <w:vAlign w:val="center"/>
          </w:tcPr>
          <w:p>
            <w:pPr>
              <w:pStyle w:val="45"/>
              <w:rPr>
                <w:rFonts w:eastAsia="仿宋" w:cs="Times New Roman"/>
                <w:sz w:val="21"/>
                <w:szCs w:val="21"/>
              </w:rPr>
            </w:pPr>
            <w:r>
              <w:rPr>
                <w:rFonts w:hint="eastAsia" w:eastAsia="仿宋" w:cs="Times New Roman"/>
                <w:sz w:val="21"/>
                <w:szCs w:val="21"/>
              </w:rPr>
              <w:t>√</w:t>
            </w:r>
          </w:p>
        </w:tc>
        <w:tc>
          <w:tcPr>
            <w:tcW w:w="822" w:type="dxa"/>
            <w:vAlign w:val="center"/>
          </w:tcPr>
          <w:p>
            <w:pPr>
              <w:pStyle w:val="45"/>
              <w:rPr>
                <w:rFonts w:eastAsia="仿宋" w:cs="Times New Roman"/>
                <w:sz w:val="21"/>
                <w:szCs w:val="21"/>
              </w:rPr>
            </w:pPr>
          </w:p>
        </w:tc>
      </w:tr>
      <w:bookmarkEnd w:id="554"/>
    </w:tbl>
    <w:p>
      <w:pPr>
        <w:pStyle w:val="4"/>
        <w:numPr>
          <w:ilvl w:val="0"/>
          <w:numId w:val="73"/>
        </w:numPr>
        <w:spacing w:after="395"/>
        <w:ind w:left="0" w:firstLine="0"/>
      </w:pPr>
      <w:bookmarkStart w:id="555" w:name="_Toc113925848"/>
      <w:bookmarkStart w:id="556" w:name="_Toc113925596"/>
      <w:bookmarkStart w:id="557" w:name="_Toc20461"/>
      <w:bookmarkStart w:id="558" w:name="_Toc117114406"/>
      <w:bookmarkStart w:id="559" w:name="_Toc6697"/>
      <w:bookmarkStart w:id="560" w:name="_Toc114084676"/>
      <w:r>
        <w:rPr>
          <w:rFonts w:hint="eastAsia"/>
        </w:rPr>
        <w:t>基础工程规划</w:t>
      </w:r>
      <w:bookmarkEnd w:id="555"/>
      <w:bookmarkEnd w:id="556"/>
      <w:bookmarkEnd w:id="557"/>
      <w:bookmarkEnd w:id="558"/>
      <w:bookmarkEnd w:id="559"/>
      <w:bookmarkEnd w:id="560"/>
    </w:p>
    <w:p>
      <w:pPr>
        <w:pStyle w:val="5"/>
        <w:numPr>
          <w:ilvl w:val="1"/>
          <w:numId w:val="73"/>
        </w:numPr>
        <w:spacing w:before="197"/>
      </w:pPr>
      <w:bookmarkStart w:id="561" w:name="_Toc27669"/>
      <w:bookmarkStart w:id="562" w:name="_Toc117114407"/>
      <w:bookmarkStart w:id="563" w:name="_Toc4699"/>
      <w:bookmarkStart w:id="564" w:name="_Toc114084677"/>
      <w:bookmarkStart w:id="565" w:name="_Toc113925849"/>
      <w:bookmarkStart w:id="566" w:name="_Toc113925597"/>
      <w:r>
        <w:rPr>
          <w:rFonts w:hint="eastAsia"/>
        </w:rPr>
        <w:t>道路交通规划</w:t>
      </w:r>
      <w:bookmarkEnd w:id="561"/>
      <w:bookmarkEnd w:id="562"/>
      <w:bookmarkEnd w:id="563"/>
      <w:bookmarkEnd w:id="564"/>
      <w:bookmarkEnd w:id="565"/>
      <w:bookmarkEnd w:id="566"/>
    </w:p>
    <w:p>
      <w:pPr>
        <w:pStyle w:val="6"/>
        <w:numPr>
          <w:ilvl w:val="2"/>
          <w:numId w:val="73"/>
        </w:numPr>
      </w:pPr>
      <w:bookmarkStart w:id="567" w:name="_Toc113925598"/>
      <w:bookmarkStart w:id="568" w:name="_Toc113925850"/>
      <w:r>
        <w:rPr>
          <w:rFonts w:hint="eastAsia"/>
        </w:rPr>
        <w:t>道路交通现状</w:t>
      </w:r>
      <w:bookmarkEnd w:id="567"/>
      <w:bookmarkEnd w:id="568"/>
    </w:p>
    <w:p>
      <w:pPr>
        <w:ind w:firstLine="560"/>
        <w:rPr>
          <w:rFonts w:cs="Times New Roman"/>
        </w:rPr>
      </w:pPr>
      <w:r>
        <w:rPr>
          <w:rFonts w:hint="eastAsia" w:cs="Times New Roman"/>
        </w:rPr>
        <w:t>（1）外部交通</w:t>
      </w:r>
    </w:p>
    <w:p>
      <w:pPr>
        <w:ind w:firstLine="560"/>
        <w:rPr>
          <w:rFonts w:cs="Times New Roman"/>
        </w:rPr>
      </w:pPr>
      <w:r>
        <w:rPr>
          <w:rFonts w:hint="eastAsia" w:cs="Times New Roman"/>
        </w:rPr>
        <w:t>石门县区位优势明显，交通通讯发达。</w:t>
      </w:r>
    </w:p>
    <w:p>
      <w:pPr>
        <w:ind w:firstLine="560"/>
        <w:rPr>
          <w:rFonts w:cs="Times New Roman"/>
        </w:rPr>
      </w:pPr>
      <w:r>
        <w:rPr>
          <w:rFonts w:hint="eastAsia" w:cs="Times New Roman"/>
        </w:rPr>
        <w:t>铁路：焦（焦作）—柳（柳州）线横贯县境，石（石门）—长（长沙）线与焦柳线在石门形成县城T型交汇，洛（洛阳）—湛（湛江）线途经石门，三条主干线设计年货运量分别为1500万吨、1900万吨、5000万吨，襄（襄樊）—石（石门）复线货运量可达3200万吨。境内设有石门县站、石门北站、石门南站、七松站四座火车站，铁路运输十分便利，客运可直达北京、上海、广州等城市。</w:t>
      </w:r>
    </w:p>
    <w:p>
      <w:pPr>
        <w:ind w:firstLine="560"/>
        <w:rPr>
          <w:rFonts w:cs="Times New Roman"/>
        </w:rPr>
      </w:pPr>
      <w:r>
        <w:rPr>
          <w:rFonts w:hint="eastAsia" w:cs="Times New Roman"/>
        </w:rPr>
        <w:t>公路：炉慈高速连通湘鄂两省，是湖南省规划的“七纵七横”高速公路网的重要组成部分，横跨仙阳湖贯穿石门太平、大同山、维新、白云龙王洞等乡镇和景点，主线长80公里，在仙阳湖国家湿地公园有维新和龙王洞2处高速出入口。石门距207国道澧县段25公里，距安慈高速入口2公里。全县共有省道600多公里，S303、S304、S237三条省道贯穿县境；有县、乡道2000多公里，90%以上的乡镇实现了乡乡通油路；有村道6000多公里。</w:t>
      </w:r>
    </w:p>
    <w:p>
      <w:pPr>
        <w:ind w:firstLine="560"/>
        <w:rPr>
          <w:rFonts w:cs="Times New Roman"/>
        </w:rPr>
      </w:pPr>
      <w:r>
        <w:rPr>
          <w:rFonts w:hint="eastAsia" w:cs="Times New Roman"/>
        </w:rPr>
        <w:t>航空：石门至张家界国际机场130公里，可直达深圳、海南、昆明、重庆、北京等地。石门至常德机场115公里。</w:t>
      </w:r>
    </w:p>
    <w:p>
      <w:pPr>
        <w:ind w:firstLine="560"/>
        <w:rPr>
          <w:rFonts w:cs="Times New Roman"/>
        </w:rPr>
      </w:pPr>
      <w:r>
        <w:rPr>
          <w:rFonts w:hint="eastAsia" w:cs="Times New Roman"/>
        </w:rPr>
        <w:t>水运：在石门境内建有闫家坝水运码头，最大吨位为100吨级。丰水期可直接从石门下船，枯水期可从澧县阳湖口码头或津市竹木坪码头下船（距石门60公里），经洞庭湖入长江。</w:t>
      </w:r>
    </w:p>
    <w:p>
      <w:pPr>
        <w:ind w:firstLine="560"/>
        <w:rPr>
          <w:rFonts w:cs="Times New Roman"/>
        </w:rPr>
      </w:pPr>
      <w:r>
        <w:rPr>
          <w:rFonts w:hint="eastAsia" w:cs="Times New Roman"/>
        </w:rPr>
        <w:t>（2）内部道路</w:t>
      </w:r>
    </w:p>
    <w:p>
      <w:pPr>
        <w:ind w:firstLine="560"/>
        <w:rPr>
          <w:rFonts w:cs="Times New Roman"/>
        </w:rPr>
      </w:pPr>
      <w:r>
        <w:rPr>
          <w:rFonts w:hint="eastAsia" w:cs="Times New Roman"/>
        </w:rPr>
        <w:t>目前，湿地公园内环湖四周都有公路，四通八达，公共汽车每15分钟一趟经过公园，有停车场3处，占地面积5800平方米，可供停车位100多个；巡护码头3处。但是，湿地公园内除省道外，仅有一些乡村道路，部分区域仅能通过步行或者通过船只进入，如白云镇沿岸、月光岛等，对巡护工作造成了诸多障碍。</w:t>
      </w:r>
    </w:p>
    <w:p>
      <w:pPr>
        <w:pStyle w:val="6"/>
        <w:numPr>
          <w:ilvl w:val="2"/>
          <w:numId w:val="73"/>
        </w:numPr>
      </w:pPr>
      <w:bookmarkStart w:id="569" w:name="_Toc113925599"/>
      <w:bookmarkStart w:id="570" w:name="_Toc113925851"/>
      <w:r>
        <w:rPr>
          <w:rFonts w:hint="eastAsia"/>
        </w:rPr>
        <w:t>道路和交通设施规划</w:t>
      </w:r>
      <w:bookmarkEnd w:id="569"/>
      <w:bookmarkEnd w:id="570"/>
    </w:p>
    <w:p>
      <w:pPr>
        <w:numPr>
          <w:ilvl w:val="0"/>
          <w:numId w:val="74"/>
        </w:numPr>
        <w:ind w:firstLine="560"/>
        <w:rPr>
          <w:rFonts w:cs="Times New Roman"/>
          <w:szCs w:val="28"/>
        </w:rPr>
      </w:pPr>
      <w:r>
        <w:rPr>
          <w:rFonts w:hint="eastAsia" w:cs="Times New Roman"/>
          <w:szCs w:val="28"/>
        </w:rPr>
        <w:t>巡护车道</w:t>
      </w:r>
    </w:p>
    <w:p>
      <w:pPr>
        <w:ind w:firstLine="560"/>
        <w:rPr>
          <w:rFonts w:cs="Times New Roman"/>
          <w:szCs w:val="28"/>
        </w:rPr>
      </w:pPr>
      <w:r>
        <w:rPr>
          <w:rFonts w:hint="eastAsia" w:cs="Times New Roman"/>
          <w:szCs w:val="28"/>
        </w:rPr>
        <w:t>为强化湿地公园保护，打通巡护</w:t>
      </w:r>
      <w:r>
        <w:rPr>
          <w:rFonts w:hint="eastAsia" w:ascii="仿宋" w:hAnsi="仿宋" w:cs="仿宋"/>
          <w:szCs w:val="28"/>
        </w:rPr>
        <w:t>工作“最后一公里”</w:t>
      </w:r>
      <w:r>
        <w:rPr>
          <w:rFonts w:hint="eastAsia" w:cs="Times New Roman"/>
          <w:szCs w:val="28"/>
        </w:rPr>
        <w:t>，规划实施巡护车道建设工程，建设范围包括湿地公园南侧东起车坊村、西至天鹅山村，以及月光岛、</w:t>
      </w:r>
      <w:r>
        <w:rPr>
          <w:rFonts w:hint="eastAsia" w:cs="Times New Roman"/>
        </w:rPr>
        <w:t>乐天岛、晒谷堡、八户山等</w:t>
      </w:r>
      <w:r>
        <w:rPr>
          <w:rFonts w:hint="eastAsia" w:cs="Times New Roman"/>
          <w:szCs w:val="28"/>
        </w:rPr>
        <w:t>，全长约3</w:t>
      </w:r>
      <w:r>
        <w:rPr>
          <w:rFonts w:cs="Times New Roman"/>
          <w:szCs w:val="28"/>
        </w:rPr>
        <w:t>5</w:t>
      </w:r>
      <w:r>
        <w:rPr>
          <w:rFonts w:hint="eastAsia" w:cs="Times New Roman"/>
          <w:szCs w:val="28"/>
        </w:rPr>
        <w:t>千米。巡护车道采用三级林区公路标准，双车道路面宽6m，路基6.5m。</w:t>
      </w:r>
    </w:p>
    <w:p>
      <w:pPr>
        <w:numPr>
          <w:ilvl w:val="0"/>
          <w:numId w:val="74"/>
        </w:numPr>
        <w:ind w:firstLine="560"/>
        <w:rPr>
          <w:rFonts w:cs="Times New Roman"/>
          <w:szCs w:val="28"/>
        </w:rPr>
      </w:pPr>
      <w:r>
        <w:rPr>
          <w:rFonts w:hint="eastAsia" w:cs="Times New Roman"/>
          <w:szCs w:val="28"/>
        </w:rPr>
        <w:t>游步道</w:t>
      </w:r>
    </w:p>
    <w:p>
      <w:pPr>
        <w:ind w:firstLine="560"/>
        <w:rPr>
          <w:rFonts w:cs="Times New Roman"/>
          <w:szCs w:val="28"/>
        </w:rPr>
      </w:pPr>
      <w:r>
        <w:rPr>
          <w:rFonts w:hint="eastAsia" w:cs="Times New Roman"/>
          <w:szCs w:val="28"/>
        </w:rPr>
        <w:t>为给居民提供散步、慢跑、骑车、健身等活动场所，规划沿湿地公园岸线以及马鞍岛、晒谷堡、月光岛、严家山片区等区域修建观光游步道，路面采用透水混凝土、麻石、防腐木等多种材质。宽</w:t>
      </w:r>
      <w:r>
        <w:rPr>
          <w:rFonts w:cs="Times New Roman"/>
          <w:szCs w:val="28"/>
        </w:rPr>
        <w:t>2-3.5</w:t>
      </w:r>
      <w:r>
        <w:rPr>
          <w:rFonts w:hint="eastAsia" w:cs="Times New Roman"/>
          <w:szCs w:val="28"/>
        </w:rPr>
        <w:t>m，全长</w:t>
      </w:r>
      <w:r>
        <w:rPr>
          <w:rFonts w:cs="Times New Roman"/>
          <w:szCs w:val="28"/>
        </w:rPr>
        <w:t>20</w:t>
      </w:r>
      <w:r>
        <w:rPr>
          <w:rFonts w:hint="eastAsia" w:cs="Times New Roman"/>
          <w:szCs w:val="28"/>
        </w:rPr>
        <w:t>0公里。游步道尽可能利用原有步行小路，因地制宜，因景制宜，曲直自如，与周边环境融为一体，保持自然野趣。在危险路段要采取安全防护措施，具有探险性质的游览路段，可以不加铺筑，似路非路，顺其自然。</w:t>
      </w:r>
    </w:p>
    <w:p>
      <w:pPr>
        <w:numPr>
          <w:ilvl w:val="0"/>
          <w:numId w:val="74"/>
        </w:numPr>
        <w:ind w:firstLine="560"/>
        <w:rPr>
          <w:rFonts w:cs="Times New Roman"/>
          <w:szCs w:val="28"/>
        </w:rPr>
      </w:pPr>
      <w:r>
        <w:rPr>
          <w:rFonts w:hint="eastAsia" w:cs="Times New Roman"/>
          <w:szCs w:val="28"/>
        </w:rPr>
        <w:t>停车场</w:t>
      </w:r>
    </w:p>
    <w:p>
      <w:pPr>
        <w:ind w:firstLine="560"/>
        <w:rPr>
          <w:rFonts w:cs="Times New Roman"/>
          <w:szCs w:val="28"/>
          <w:highlight w:val="yellow"/>
        </w:rPr>
      </w:pPr>
      <w:r>
        <w:rPr>
          <w:rFonts w:hint="eastAsia" w:cs="Times New Roman"/>
          <w:szCs w:val="28"/>
        </w:rPr>
        <w:t>规划在游客服务中心、宣教中心、湿地管理处、</w:t>
      </w:r>
      <w:r>
        <w:rPr>
          <w:rFonts w:hint="eastAsia" w:cs="Times New Roman"/>
        </w:rPr>
        <w:t>乐天岛</w:t>
      </w:r>
      <w:r>
        <w:rPr>
          <w:rFonts w:hint="eastAsia" w:cs="Times New Roman"/>
          <w:szCs w:val="28"/>
        </w:rPr>
        <w:t>、晒谷堡、月光岛、</w:t>
      </w:r>
      <w:r>
        <w:rPr>
          <w:rFonts w:cs="Times New Roman"/>
          <w:szCs w:val="28"/>
        </w:rPr>
        <w:t>9</w:t>
      </w:r>
      <w:r>
        <w:rPr>
          <w:rFonts w:hint="eastAsia" w:cs="Times New Roman"/>
          <w:szCs w:val="28"/>
        </w:rPr>
        <w:t>处巡护码头、天鹅山村内新建停车场1</w:t>
      </w:r>
      <w:r>
        <w:rPr>
          <w:rFonts w:cs="Times New Roman"/>
          <w:szCs w:val="28"/>
        </w:rPr>
        <w:t>3</w:t>
      </w:r>
      <w:r>
        <w:rPr>
          <w:rFonts w:hint="eastAsia" w:cs="Times New Roman"/>
          <w:szCs w:val="28"/>
        </w:rPr>
        <w:t>处，其中游客服务中心停车场面积为</w:t>
      </w:r>
      <w:r>
        <w:rPr>
          <w:rFonts w:cs="Times New Roman"/>
          <w:szCs w:val="28"/>
        </w:rPr>
        <w:t>1</w:t>
      </w:r>
      <w:r>
        <w:rPr>
          <w:rFonts w:hint="eastAsia" w:cs="Times New Roman"/>
          <w:szCs w:val="28"/>
        </w:rPr>
        <w:t>0</w:t>
      </w:r>
      <w:r>
        <w:rPr>
          <w:rFonts w:cs="Times New Roman"/>
          <w:szCs w:val="28"/>
        </w:rPr>
        <w:t>000</w:t>
      </w:r>
      <w:r>
        <w:rPr>
          <w:rFonts w:hint="eastAsia" w:cs="Times New Roman"/>
          <w:szCs w:val="28"/>
        </w:rPr>
        <w:t>平方米，其余停车场面积各1</w:t>
      </w:r>
      <w:r>
        <w:rPr>
          <w:rFonts w:cs="Times New Roman"/>
          <w:szCs w:val="28"/>
        </w:rPr>
        <w:t>800</w:t>
      </w:r>
      <w:r>
        <w:rPr>
          <w:rFonts w:hint="eastAsia" w:cs="Times New Roman"/>
          <w:szCs w:val="28"/>
        </w:rPr>
        <w:t>平方米。</w:t>
      </w:r>
    </w:p>
    <w:p>
      <w:pPr>
        <w:numPr>
          <w:ilvl w:val="0"/>
          <w:numId w:val="74"/>
        </w:numPr>
        <w:ind w:firstLine="560"/>
        <w:rPr>
          <w:rFonts w:cs="Times New Roman"/>
          <w:szCs w:val="28"/>
        </w:rPr>
      </w:pPr>
      <w:r>
        <w:rPr>
          <w:rFonts w:hint="eastAsia" w:cs="Times New Roman"/>
          <w:szCs w:val="28"/>
        </w:rPr>
        <w:t>巡护码头</w:t>
      </w:r>
    </w:p>
    <w:p>
      <w:pPr>
        <w:ind w:firstLine="560"/>
        <w:rPr>
          <w:rFonts w:cs="Times New Roman"/>
          <w:szCs w:val="28"/>
        </w:rPr>
      </w:pPr>
      <w:r>
        <w:rPr>
          <w:rFonts w:hint="eastAsia" w:cs="Times New Roman"/>
          <w:szCs w:val="28"/>
        </w:rPr>
        <w:t>规划在酉家湾、花子洞、陈家院、龙王洞、马鞍岛、</w:t>
      </w:r>
      <w:r>
        <w:rPr>
          <w:rFonts w:hint="eastAsia" w:cs="Times New Roman"/>
        </w:rPr>
        <w:t>乐天岛</w:t>
      </w:r>
      <w:r>
        <w:rPr>
          <w:rFonts w:hint="eastAsia" w:cs="Times New Roman"/>
          <w:szCs w:val="28"/>
        </w:rPr>
        <w:t>、彭家堡八户山、万仞洞大桥处新建巡护码头各1处，用于湿地公园日常巡护、交通运输船只停泊，完善湿地公园内水路交通。</w:t>
      </w:r>
    </w:p>
    <w:p>
      <w:pPr>
        <w:numPr>
          <w:ilvl w:val="0"/>
          <w:numId w:val="74"/>
        </w:numPr>
        <w:ind w:firstLine="560"/>
        <w:rPr>
          <w:rFonts w:cs="Times New Roman"/>
          <w:szCs w:val="28"/>
        </w:rPr>
      </w:pPr>
      <w:r>
        <w:rPr>
          <w:rFonts w:hint="eastAsia" w:cs="Times New Roman"/>
          <w:szCs w:val="28"/>
        </w:rPr>
        <w:t>交通工具</w:t>
      </w:r>
    </w:p>
    <w:p>
      <w:pPr>
        <w:ind w:firstLine="560"/>
        <w:rPr>
          <w:rFonts w:cs="Times New Roman"/>
          <w:szCs w:val="28"/>
        </w:rPr>
      </w:pPr>
      <w:r>
        <w:rPr>
          <w:rFonts w:hint="eastAsia" w:cs="Times New Roman"/>
          <w:szCs w:val="28"/>
        </w:rPr>
        <w:t>为满足公园科研监测、生产旅游等方面的要求，努力实现交通方式多样化，人行、机动车、非机动车和船舶等方式并举。根据湿地公园科研保护管理工作需要，规划购置巡护越野车2辆，巡护电瓶车6辆，巡护艇4艘，巡护摩托车10辆。</w:t>
      </w:r>
    </w:p>
    <w:p>
      <w:pPr>
        <w:pStyle w:val="5"/>
        <w:numPr>
          <w:ilvl w:val="1"/>
          <w:numId w:val="73"/>
        </w:numPr>
        <w:spacing w:before="197"/>
      </w:pPr>
      <w:bookmarkStart w:id="571" w:name="_Toc3535"/>
      <w:bookmarkStart w:id="572" w:name="_Toc113925852"/>
      <w:bookmarkStart w:id="573" w:name="_Toc117114408"/>
      <w:bookmarkStart w:id="574" w:name="_Toc113925600"/>
      <w:bookmarkStart w:id="575" w:name="_Toc114084678"/>
      <w:bookmarkStart w:id="576" w:name="_Toc9929"/>
      <w:r>
        <w:rPr>
          <w:rFonts w:hint="eastAsia"/>
        </w:rPr>
        <w:t>电力工程规划</w:t>
      </w:r>
      <w:bookmarkEnd w:id="571"/>
      <w:bookmarkEnd w:id="572"/>
      <w:bookmarkEnd w:id="573"/>
      <w:bookmarkEnd w:id="574"/>
      <w:bookmarkEnd w:id="575"/>
      <w:bookmarkEnd w:id="576"/>
    </w:p>
    <w:p>
      <w:pPr>
        <w:pStyle w:val="6"/>
        <w:numPr>
          <w:ilvl w:val="2"/>
          <w:numId w:val="75"/>
        </w:numPr>
      </w:pPr>
      <w:bookmarkStart w:id="577" w:name="_Toc113925853"/>
      <w:bookmarkStart w:id="578" w:name="_Toc113925601"/>
      <w:r>
        <w:rPr>
          <w:rFonts w:hint="eastAsia"/>
        </w:rPr>
        <w:t>供电现状</w:t>
      </w:r>
      <w:bookmarkEnd w:id="577"/>
      <w:bookmarkEnd w:id="578"/>
    </w:p>
    <w:p>
      <w:pPr>
        <w:ind w:firstLine="560"/>
        <w:rPr>
          <w:rFonts w:cs="Times New Roman"/>
          <w:szCs w:val="28"/>
        </w:rPr>
      </w:pPr>
      <w:r>
        <w:rPr>
          <w:rFonts w:hint="eastAsia" w:cs="Times New Roman"/>
          <w:szCs w:val="28"/>
        </w:rPr>
        <w:t>湿地公园整个范围均由石门县城乡电网供电，电网覆盖范围大，区域内供电充足。</w:t>
      </w:r>
    </w:p>
    <w:p>
      <w:pPr>
        <w:pStyle w:val="6"/>
        <w:numPr>
          <w:ilvl w:val="2"/>
          <w:numId w:val="75"/>
        </w:numPr>
      </w:pPr>
      <w:bookmarkStart w:id="579" w:name="_Toc113925602"/>
      <w:bookmarkStart w:id="580" w:name="_Toc113925854"/>
      <w:r>
        <w:rPr>
          <w:rFonts w:hint="eastAsia"/>
        </w:rPr>
        <w:t>电力规划</w:t>
      </w:r>
      <w:bookmarkEnd w:id="579"/>
      <w:bookmarkEnd w:id="580"/>
    </w:p>
    <w:p>
      <w:pPr>
        <w:ind w:firstLine="560"/>
        <w:rPr>
          <w:rFonts w:cs="Times New Roman"/>
          <w:szCs w:val="28"/>
        </w:rPr>
      </w:pPr>
      <w:r>
        <w:rPr>
          <w:rFonts w:hint="eastAsia" w:cs="Times New Roman"/>
          <w:szCs w:val="28"/>
        </w:rPr>
        <w:t>湿地公园电力系统完善，湿地公园管理服务设施用电只需就近铺设供电线路接入供电系统即可。</w:t>
      </w:r>
    </w:p>
    <w:p>
      <w:pPr>
        <w:numPr>
          <w:ilvl w:val="255"/>
          <w:numId w:val="0"/>
        </w:numPr>
        <w:ind w:firstLine="560"/>
        <w:rPr>
          <w:rFonts w:cs="Times New Roman"/>
          <w:szCs w:val="28"/>
        </w:rPr>
      </w:pPr>
      <w:r>
        <w:rPr>
          <w:rFonts w:hint="eastAsia" w:cs="Times New Roman"/>
          <w:szCs w:val="28"/>
        </w:rPr>
        <w:t>（1）用电负荷测试</w:t>
      </w:r>
    </w:p>
    <w:p>
      <w:pPr>
        <w:ind w:firstLine="560"/>
        <w:rPr>
          <w:rFonts w:cs="Times New Roman"/>
          <w:szCs w:val="28"/>
        </w:rPr>
      </w:pPr>
      <w:r>
        <w:rPr>
          <w:rFonts w:hint="eastAsia" w:cs="Times New Roman"/>
          <w:szCs w:val="28"/>
        </w:rPr>
        <w:t>参照《城市电力规划规范》（GB/T</w:t>
      </w:r>
      <w:r>
        <w:rPr>
          <w:rFonts w:cs="Times New Roman"/>
          <w:szCs w:val="28"/>
        </w:rPr>
        <w:t xml:space="preserve"> 50293-2014</w:t>
      </w:r>
      <w:r>
        <w:rPr>
          <w:rFonts w:hint="eastAsia" w:cs="Times New Roman"/>
          <w:szCs w:val="28"/>
        </w:rPr>
        <w:t>），根据人口预测法及其各用电设施的功能、建设规模及相应单位安装功率、需要系数和电网网损率，湿地公园内用电负荷预测详见表</w:t>
      </w:r>
      <w:r>
        <w:rPr>
          <w:rFonts w:cs="Times New Roman"/>
          <w:szCs w:val="28"/>
        </w:rPr>
        <w:t>11-1</w:t>
      </w:r>
      <w:r>
        <w:rPr>
          <w:rFonts w:hint="eastAsia" w:cs="Times New Roman"/>
          <w:szCs w:val="28"/>
        </w:rPr>
        <w:t>。</w:t>
      </w:r>
    </w:p>
    <w:p>
      <w:pPr>
        <w:pStyle w:val="14"/>
        <w:pageBreakBefore/>
        <w:spacing w:before="197" w:after="0" w:afterLines="0"/>
        <w:rPr>
          <w:rFonts w:ascii="黑体" w:hAnsi="黑体" w:cs="黑体"/>
          <w:sz w:val="24"/>
          <w:szCs w:val="24"/>
        </w:rPr>
      </w:pPr>
      <w:r>
        <w:rPr>
          <w:rFonts w:hint="eastAsia" w:ascii="黑体" w:hAnsi="黑体" w:cs="黑体"/>
          <w:sz w:val="24"/>
          <w:szCs w:val="24"/>
        </w:rPr>
        <w:t>用电负荷预测表</w:t>
      </w:r>
    </w:p>
    <w:p>
      <w:pPr>
        <w:spacing w:line="240" w:lineRule="auto"/>
        <w:ind w:firstLine="0" w:firstLineChars="0"/>
        <w:rPr>
          <w:rFonts w:cs="Times New Roman"/>
          <w:sz w:val="21"/>
          <w:szCs w:val="21"/>
        </w:rPr>
      </w:pPr>
      <w:r>
        <w:rPr>
          <w:rFonts w:hint="eastAsia" w:ascii="黑体" w:hAnsi="黑体" w:eastAsia="黑体" w:cs="黑体"/>
          <w:sz w:val="21"/>
          <w:szCs w:val="21"/>
        </w:rPr>
        <w:t>表</w:t>
      </w:r>
      <w:r>
        <w:rPr>
          <w:rFonts w:ascii="黑体" w:hAnsi="黑体" w:eastAsia="黑体" w:cs="黑体"/>
          <w:sz w:val="21"/>
          <w:szCs w:val="21"/>
        </w:rPr>
        <w:fldChar w:fldCharType="begin"/>
      </w:r>
      <w:r>
        <w:rPr>
          <w:rFonts w:ascii="黑体" w:hAnsi="黑体" w:eastAsia="黑体" w:cs="黑体"/>
          <w:sz w:val="21"/>
          <w:szCs w:val="21"/>
        </w:rPr>
        <w:instrText xml:space="preserve"> </w:instrText>
      </w:r>
      <w:r>
        <w:rPr>
          <w:rFonts w:hint="eastAsia" w:ascii="黑体" w:hAnsi="黑体" w:eastAsia="黑体" w:cs="黑体"/>
          <w:sz w:val="21"/>
          <w:szCs w:val="21"/>
        </w:rPr>
        <w:instrText xml:space="preserve">STYLEREF 1 \s</w:instrText>
      </w:r>
      <w:r>
        <w:rPr>
          <w:rFonts w:ascii="黑体" w:hAnsi="黑体" w:eastAsia="黑体" w:cs="黑体"/>
          <w:sz w:val="21"/>
          <w:szCs w:val="21"/>
        </w:rPr>
        <w:instrText xml:space="preserve"> </w:instrText>
      </w:r>
      <w:r>
        <w:rPr>
          <w:rFonts w:ascii="黑体" w:hAnsi="黑体" w:eastAsia="黑体" w:cs="黑体"/>
          <w:sz w:val="21"/>
          <w:szCs w:val="21"/>
        </w:rPr>
        <w:fldChar w:fldCharType="separate"/>
      </w:r>
      <w:r>
        <w:rPr>
          <w:rFonts w:ascii="黑体" w:hAnsi="黑体" w:eastAsia="黑体" w:cs="黑体"/>
          <w:sz w:val="21"/>
          <w:szCs w:val="21"/>
        </w:rPr>
        <w:t>11</w:t>
      </w:r>
      <w:r>
        <w:rPr>
          <w:rFonts w:ascii="黑体" w:hAnsi="黑体" w:eastAsia="黑体" w:cs="黑体"/>
          <w:sz w:val="21"/>
          <w:szCs w:val="21"/>
        </w:rPr>
        <w:fldChar w:fldCharType="end"/>
      </w:r>
      <w:r>
        <w:rPr>
          <w:rFonts w:ascii="黑体" w:hAnsi="黑体" w:eastAsia="黑体" w:cs="黑体"/>
          <w:sz w:val="21"/>
          <w:szCs w:val="21"/>
        </w:rPr>
        <w:t>-</w:t>
      </w:r>
      <w:r>
        <w:rPr>
          <w:rFonts w:ascii="黑体" w:hAnsi="黑体" w:eastAsia="黑体" w:cs="黑体"/>
          <w:sz w:val="21"/>
          <w:szCs w:val="21"/>
        </w:rPr>
        <w:fldChar w:fldCharType="begin"/>
      </w:r>
      <w:r>
        <w:rPr>
          <w:rFonts w:ascii="黑体" w:hAnsi="黑体" w:eastAsia="黑体" w:cs="黑体"/>
          <w:sz w:val="21"/>
          <w:szCs w:val="21"/>
        </w:rPr>
        <w:instrText xml:space="preserve"> </w:instrText>
      </w:r>
      <w:r>
        <w:rPr>
          <w:rFonts w:hint="eastAsia" w:ascii="黑体" w:hAnsi="黑体" w:eastAsia="黑体" w:cs="黑体"/>
          <w:sz w:val="21"/>
          <w:szCs w:val="21"/>
        </w:rPr>
        <w:instrText xml:space="preserve">SEQ 表 \* ARABIC \s 1</w:instrText>
      </w:r>
      <w:r>
        <w:rPr>
          <w:rFonts w:ascii="黑体" w:hAnsi="黑体" w:eastAsia="黑体" w:cs="黑体"/>
          <w:sz w:val="21"/>
          <w:szCs w:val="21"/>
        </w:rPr>
        <w:instrText xml:space="preserve"> </w:instrText>
      </w:r>
      <w:r>
        <w:rPr>
          <w:rFonts w:ascii="黑体" w:hAnsi="黑体" w:eastAsia="黑体" w:cs="黑体"/>
          <w:sz w:val="21"/>
          <w:szCs w:val="21"/>
        </w:rPr>
        <w:fldChar w:fldCharType="separate"/>
      </w:r>
      <w:r>
        <w:rPr>
          <w:rFonts w:ascii="黑体" w:hAnsi="黑体" w:eastAsia="黑体" w:cs="黑体"/>
          <w:sz w:val="21"/>
          <w:szCs w:val="21"/>
        </w:rPr>
        <w:t>1</w:t>
      </w:r>
      <w:r>
        <w:rPr>
          <w:rFonts w:ascii="黑体" w:hAnsi="黑体" w:eastAsia="黑体" w:cs="黑体"/>
          <w:sz w:val="21"/>
          <w:szCs w:val="21"/>
        </w:rPr>
        <w:fldChar w:fldCharType="end"/>
      </w:r>
    </w:p>
    <w:tbl>
      <w:tblPr>
        <w:tblStyle w:val="33"/>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8"/>
        <w:gridCol w:w="4515"/>
        <w:gridCol w:w="36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888" w:type="dxa"/>
            <w:vAlign w:val="center"/>
          </w:tcPr>
          <w:p>
            <w:pPr>
              <w:pStyle w:val="45"/>
              <w:rPr>
                <w:rFonts w:eastAsia="仿宋" w:cs="Times New Roman"/>
                <w:b/>
                <w:bCs/>
                <w:sz w:val="21"/>
                <w:szCs w:val="21"/>
              </w:rPr>
            </w:pPr>
            <w:r>
              <w:rPr>
                <w:rFonts w:hint="eastAsia" w:eastAsia="仿宋" w:cs="Times New Roman"/>
                <w:b/>
                <w:bCs/>
                <w:sz w:val="21"/>
                <w:szCs w:val="21"/>
              </w:rPr>
              <w:t>序号</w:t>
            </w:r>
          </w:p>
        </w:tc>
        <w:tc>
          <w:tcPr>
            <w:tcW w:w="4515" w:type="dxa"/>
            <w:vAlign w:val="center"/>
          </w:tcPr>
          <w:p>
            <w:pPr>
              <w:pStyle w:val="45"/>
              <w:rPr>
                <w:rFonts w:eastAsia="仿宋" w:cs="Times New Roman"/>
                <w:b/>
                <w:bCs/>
                <w:sz w:val="21"/>
                <w:szCs w:val="21"/>
              </w:rPr>
            </w:pPr>
            <w:r>
              <w:rPr>
                <w:rFonts w:hint="eastAsia" w:eastAsia="仿宋" w:cs="Times New Roman"/>
                <w:b/>
                <w:bCs/>
                <w:sz w:val="21"/>
                <w:szCs w:val="21"/>
              </w:rPr>
              <w:t>地点</w:t>
            </w:r>
          </w:p>
        </w:tc>
        <w:tc>
          <w:tcPr>
            <w:tcW w:w="3600" w:type="dxa"/>
            <w:vAlign w:val="center"/>
          </w:tcPr>
          <w:p>
            <w:pPr>
              <w:pStyle w:val="45"/>
              <w:rPr>
                <w:rFonts w:eastAsia="仿宋" w:cs="Times New Roman"/>
                <w:b/>
                <w:bCs/>
                <w:sz w:val="21"/>
                <w:szCs w:val="21"/>
              </w:rPr>
            </w:pPr>
            <w:r>
              <w:rPr>
                <w:rFonts w:hint="eastAsia" w:eastAsia="仿宋" w:cs="Times New Roman"/>
                <w:b/>
                <w:bCs/>
                <w:sz w:val="21"/>
                <w:szCs w:val="21"/>
              </w:rPr>
              <w:t>用电负荷（千瓦）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88" w:type="dxa"/>
            <w:vAlign w:val="center"/>
          </w:tcPr>
          <w:p>
            <w:pPr>
              <w:pStyle w:val="45"/>
              <w:rPr>
                <w:rFonts w:eastAsia="仿宋" w:cs="Times New Roman"/>
                <w:sz w:val="21"/>
                <w:szCs w:val="21"/>
              </w:rPr>
            </w:pPr>
            <w:r>
              <w:rPr>
                <w:rFonts w:hint="eastAsia" w:eastAsia="仿宋" w:cs="Times New Roman"/>
                <w:sz w:val="21"/>
                <w:szCs w:val="21"/>
              </w:rPr>
              <w:t>1</w:t>
            </w:r>
          </w:p>
        </w:tc>
        <w:tc>
          <w:tcPr>
            <w:tcW w:w="4515" w:type="dxa"/>
            <w:vAlign w:val="center"/>
          </w:tcPr>
          <w:p>
            <w:pPr>
              <w:pStyle w:val="45"/>
              <w:rPr>
                <w:rFonts w:eastAsia="仿宋" w:cs="Times New Roman"/>
                <w:sz w:val="21"/>
                <w:szCs w:val="21"/>
              </w:rPr>
            </w:pPr>
            <w:r>
              <w:rPr>
                <w:rFonts w:hint="eastAsia" w:eastAsia="仿宋" w:cs="Times New Roman"/>
                <w:sz w:val="21"/>
                <w:szCs w:val="21"/>
              </w:rPr>
              <w:t>湿地科普宣教中心</w:t>
            </w:r>
          </w:p>
        </w:tc>
        <w:tc>
          <w:tcPr>
            <w:tcW w:w="3600" w:type="dxa"/>
            <w:vAlign w:val="center"/>
          </w:tcPr>
          <w:p>
            <w:pPr>
              <w:pStyle w:val="45"/>
              <w:rPr>
                <w:rFonts w:eastAsia="仿宋" w:cs="Times New Roman"/>
                <w:sz w:val="21"/>
                <w:szCs w:val="21"/>
              </w:rPr>
            </w:pPr>
            <w:r>
              <w:rPr>
                <w:rFonts w:eastAsia="仿宋" w:cs="Times New Roman"/>
                <w:sz w:val="21"/>
                <w:szCs w:val="21"/>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88" w:type="dxa"/>
            <w:vAlign w:val="center"/>
          </w:tcPr>
          <w:p>
            <w:pPr>
              <w:pStyle w:val="45"/>
              <w:rPr>
                <w:rFonts w:eastAsia="仿宋" w:cs="Times New Roman"/>
                <w:sz w:val="21"/>
                <w:szCs w:val="21"/>
              </w:rPr>
            </w:pPr>
            <w:r>
              <w:rPr>
                <w:rFonts w:hint="eastAsia" w:eastAsia="仿宋" w:cs="Times New Roman"/>
                <w:sz w:val="21"/>
                <w:szCs w:val="21"/>
              </w:rPr>
              <w:t>2</w:t>
            </w:r>
          </w:p>
        </w:tc>
        <w:tc>
          <w:tcPr>
            <w:tcW w:w="4515" w:type="dxa"/>
            <w:vAlign w:val="center"/>
          </w:tcPr>
          <w:p>
            <w:pPr>
              <w:pStyle w:val="45"/>
              <w:rPr>
                <w:rFonts w:eastAsia="仿宋" w:cs="Times New Roman"/>
                <w:sz w:val="21"/>
                <w:szCs w:val="21"/>
              </w:rPr>
            </w:pPr>
            <w:r>
              <w:rPr>
                <w:rFonts w:hint="eastAsia" w:eastAsia="仿宋" w:cs="Times New Roman"/>
                <w:sz w:val="21"/>
                <w:szCs w:val="21"/>
              </w:rPr>
              <w:t>动物救助站</w:t>
            </w:r>
          </w:p>
        </w:tc>
        <w:tc>
          <w:tcPr>
            <w:tcW w:w="3600" w:type="dxa"/>
            <w:vAlign w:val="center"/>
          </w:tcPr>
          <w:p>
            <w:pPr>
              <w:pStyle w:val="45"/>
              <w:rPr>
                <w:rFonts w:eastAsia="仿宋" w:cs="Times New Roman"/>
                <w:sz w:val="21"/>
                <w:szCs w:val="21"/>
              </w:rPr>
            </w:pPr>
            <w:r>
              <w:rPr>
                <w:rFonts w:hint="eastAsia" w:eastAsia="仿宋" w:cs="Times New Roman"/>
                <w:sz w:val="21"/>
                <w:szCs w:val="21"/>
              </w:rPr>
              <w:t>5</w:t>
            </w:r>
            <w:r>
              <w:rPr>
                <w:rFonts w:eastAsia="仿宋" w:cs="Times New Roman"/>
                <w:sz w:val="21"/>
                <w:szCs w:val="21"/>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88" w:type="dxa"/>
            <w:vAlign w:val="center"/>
          </w:tcPr>
          <w:p>
            <w:pPr>
              <w:pStyle w:val="45"/>
              <w:rPr>
                <w:rFonts w:eastAsia="仿宋" w:cs="Times New Roman"/>
                <w:sz w:val="21"/>
                <w:szCs w:val="21"/>
              </w:rPr>
            </w:pPr>
            <w:r>
              <w:rPr>
                <w:rFonts w:hint="eastAsia" w:eastAsia="仿宋" w:cs="Times New Roman"/>
                <w:sz w:val="21"/>
                <w:szCs w:val="21"/>
              </w:rPr>
              <w:t>3</w:t>
            </w:r>
          </w:p>
        </w:tc>
        <w:tc>
          <w:tcPr>
            <w:tcW w:w="4515" w:type="dxa"/>
            <w:vAlign w:val="center"/>
          </w:tcPr>
          <w:p>
            <w:pPr>
              <w:pStyle w:val="45"/>
              <w:rPr>
                <w:rFonts w:eastAsia="仿宋" w:cs="Times New Roman"/>
                <w:sz w:val="21"/>
                <w:szCs w:val="21"/>
              </w:rPr>
            </w:pPr>
            <w:r>
              <w:rPr>
                <w:rFonts w:hint="eastAsia" w:eastAsia="仿宋" w:cs="Times New Roman"/>
                <w:sz w:val="21"/>
                <w:szCs w:val="21"/>
              </w:rPr>
              <w:t>鱼类资源监测研究中心</w:t>
            </w:r>
          </w:p>
        </w:tc>
        <w:tc>
          <w:tcPr>
            <w:tcW w:w="3600" w:type="dxa"/>
            <w:vAlign w:val="center"/>
          </w:tcPr>
          <w:p>
            <w:pPr>
              <w:pStyle w:val="45"/>
              <w:rPr>
                <w:rFonts w:eastAsia="仿宋" w:cs="Times New Roman"/>
                <w:sz w:val="21"/>
                <w:szCs w:val="21"/>
              </w:rPr>
            </w:pPr>
            <w:r>
              <w:rPr>
                <w:rFonts w:hint="eastAsia" w:eastAsia="仿宋" w:cs="Times New Roman"/>
                <w:sz w:val="21"/>
                <w:szCs w:val="21"/>
              </w:rPr>
              <w:t>5</w:t>
            </w:r>
            <w:r>
              <w:rPr>
                <w:rFonts w:eastAsia="仿宋" w:cs="Times New Roman"/>
                <w:sz w:val="21"/>
                <w:szCs w:val="21"/>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88" w:type="dxa"/>
            <w:vAlign w:val="center"/>
          </w:tcPr>
          <w:p>
            <w:pPr>
              <w:pStyle w:val="45"/>
              <w:rPr>
                <w:rFonts w:eastAsia="仿宋" w:cs="Times New Roman"/>
                <w:sz w:val="21"/>
                <w:szCs w:val="21"/>
              </w:rPr>
            </w:pPr>
            <w:r>
              <w:rPr>
                <w:rFonts w:hint="eastAsia" w:eastAsia="仿宋" w:cs="Times New Roman"/>
                <w:sz w:val="21"/>
                <w:szCs w:val="21"/>
              </w:rPr>
              <w:t>4</w:t>
            </w:r>
          </w:p>
        </w:tc>
        <w:tc>
          <w:tcPr>
            <w:tcW w:w="4515" w:type="dxa"/>
            <w:vAlign w:val="center"/>
          </w:tcPr>
          <w:p>
            <w:pPr>
              <w:pStyle w:val="45"/>
              <w:rPr>
                <w:rFonts w:eastAsia="仿宋" w:cs="Times New Roman"/>
                <w:sz w:val="21"/>
                <w:szCs w:val="21"/>
              </w:rPr>
            </w:pPr>
            <w:r>
              <w:rPr>
                <w:rFonts w:hint="eastAsia" w:eastAsia="仿宋" w:cs="Times New Roman"/>
                <w:sz w:val="21"/>
                <w:szCs w:val="21"/>
              </w:rPr>
              <w:t>游客服务中心</w:t>
            </w:r>
          </w:p>
        </w:tc>
        <w:tc>
          <w:tcPr>
            <w:tcW w:w="3600" w:type="dxa"/>
            <w:vAlign w:val="center"/>
          </w:tcPr>
          <w:p>
            <w:pPr>
              <w:pStyle w:val="45"/>
              <w:rPr>
                <w:rFonts w:eastAsia="仿宋" w:cs="Times New Roman"/>
                <w:sz w:val="21"/>
                <w:szCs w:val="21"/>
              </w:rPr>
            </w:pPr>
            <w:r>
              <w:rPr>
                <w:rFonts w:eastAsia="仿宋" w:cs="Times New Roman"/>
                <w:sz w:val="21"/>
                <w:szCs w:val="21"/>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88" w:type="dxa"/>
            <w:vAlign w:val="center"/>
          </w:tcPr>
          <w:p>
            <w:pPr>
              <w:pStyle w:val="45"/>
              <w:rPr>
                <w:rFonts w:eastAsia="仿宋" w:cs="Times New Roman"/>
                <w:sz w:val="21"/>
                <w:szCs w:val="21"/>
              </w:rPr>
            </w:pPr>
            <w:r>
              <w:rPr>
                <w:rFonts w:hint="eastAsia" w:eastAsia="仿宋" w:cs="Times New Roman"/>
                <w:sz w:val="21"/>
                <w:szCs w:val="21"/>
              </w:rPr>
              <w:t>5</w:t>
            </w:r>
          </w:p>
        </w:tc>
        <w:tc>
          <w:tcPr>
            <w:tcW w:w="4515" w:type="dxa"/>
            <w:vAlign w:val="center"/>
          </w:tcPr>
          <w:p>
            <w:pPr>
              <w:pStyle w:val="45"/>
              <w:rPr>
                <w:rFonts w:eastAsia="仿宋" w:cs="Times New Roman"/>
                <w:sz w:val="21"/>
                <w:szCs w:val="21"/>
              </w:rPr>
            </w:pPr>
            <w:r>
              <w:rPr>
                <w:rFonts w:hint="eastAsia" w:eastAsia="仿宋" w:cs="Times New Roman"/>
                <w:sz w:val="21"/>
                <w:szCs w:val="21"/>
              </w:rPr>
              <w:t>湿地科研监测中心</w:t>
            </w:r>
          </w:p>
        </w:tc>
        <w:tc>
          <w:tcPr>
            <w:tcW w:w="3600" w:type="dxa"/>
            <w:vAlign w:val="center"/>
          </w:tcPr>
          <w:p>
            <w:pPr>
              <w:pStyle w:val="45"/>
              <w:rPr>
                <w:rFonts w:eastAsia="仿宋" w:cs="Times New Roman"/>
                <w:sz w:val="21"/>
                <w:szCs w:val="21"/>
              </w:rPr>
            </w:pPr>
            <w:r>
              <w:rPr>
                <w:rFonts w:eastAsia="仿宋" w:cs="Times New Roman"/>
                <w:sz w:val="21"/>
                <w:szCs w:val="21"/>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88" w:type="dxa"/>
            <w:vAlign w:val="center"/>
          </w:tcPr>
          <w:p>
            <w:pPr>
              <w:pStyle w:val="45"/>
              <w:rPr>
                <w:rFonts w:eastAsia="仿宋" w:cs="Times New Roman"/>
                <w:sz w:val="21"/>
                <w:szCs w:val="21"/>
              </w:rPr>
            </w:pPr>
            <w:r>
              <w:rPr>
                <w:rFonts w:hint="eastAsia" w:eastAsia="仿宋" w:cs="Times New Roman"/>
                <w:sz w:val="21"/>
                <w:szCs w:val="21"/>
              </w:rPr>
              <w:t>6</w:t>
            </w:r>
          </w:p>
        </w:tc>
        <w:tc>
          <w:tcPr>
            <w:tcW w:w="4515" w:type="dxa"/>
            <w:vAlign w:val="center"/>
          </w:tcPr>
          <w:p>
            <w:pPr>
              <w:pStyle w:val="45"/>
              <w:rPr>
                <w:rFonts w:eastAsia="仿宋" w:cs="Times New Roman"/>
                <w:sz w:val="21"/>
                <w:szCs w:val="21"/>
              </w:rPr>
            </w:pPr>
            <w:r>
              <w:rPr>
                <w:rFonts w:hint="eastAsia" w:eastAsia="仿宋" w:cs="Times New Roman"/>
                <w:sz w:val="21"/>
                <w:szCs w:val="21"/>
              </w:rPr>
              <w:t>气象观测站</w:t>
            </w:r>
          </w:p>
        </w:tc>
        <w:tc>
          <w:tcPr>
            <w:tcW w:w="3600" w:type="dxa"/>
            <w:vAlign w:val="center"/>
          </w:tcPr>
          <w:p>
            <w:pPr>
              <w:pStyle w:val="45"/>
              <w:rPr>
                <w:rFonts w:eastAsia="仿宋" w:cs="Times New Roman"/>
                <w:sz w:val="21"/>
                <w:szCs w:val="21"/>
              </w:rPr>
            </w:pPr>
            <w:r>
              <w:rPr>
                <w:rFonts w:eastAsia="仿宋" w:cs="Times New Roman"/>
                <w:sz w:val="21"/>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88" w:type="dxa"/>
            <w:vAlign w:val="center"/>
          </w:tcPr>
          <w:p>
            <w:pPr>
              <w:pStyle w:val="45"/>
              <w:rPr>
                <w:rFonts w:eastAsia="仿宋" w:cs="Times New Roman"/>
                <w:sz w:val="21"/>
                <w:szCs w:val="21"/>
              </w:rPr>
            </w:pPr>
            <w:r>
              <w:rPr>
                <w:rFonts w:hint="eastAsia" w:eastAsia="仿宋" w:cs="Times New Roman"/>
                <w:sz w:val="21"/>
                <w:szCs w:val="21"/>
              </w:rPr>
              <w:t>7</w:t>
            </w:r>
          </w:p>
        </w:tc>
        <w:tc>
          <w:tcPr>
            <w:tcW w:w="4515" w:type="dxa"/>
            <w:vAlign w:val="center"/>
          </w:tcPr>
          <w:p>
            <w:pPr>
              <w:pStyle w:val="45"/>
              <w:rPr>
                <w:rFonts w:eastAsia="仿宋" w:cs="Times New Roman"/>
                <w:sz w:val="21"/>
                <w:szCs w:val="21"/>
              </w:rPr>
            </w:pPr>
            <w:r>
              <w:rPr>
                <w:rFonts w:hint="eastAsia" w:eastAsia="仿宋" w:cs="Times New Roman"/>
                <w:sz w:val="21"/>
                <w:szCs w:val="21"/>
              </w:rPr>
              <w:t>水文监测站</w:t>
            </w:r>
          </w:p>
        </w:tc>
        <w:tc>
          <w:tcPr>
            <w:tcW w:w="3600" w:type="dxa"/>
            <w:vAlign w:val="center"/>
          </w:tcPr>
          <w:p>
            <w:pPr>
              <w:pStyle w:val="45"/>
              <w:rPr>
                <w:rFonts w:eastAsia="仿宋" w:cs="Times New Roman"/>
                <w:sz w:val="21"/>
                <w:szCs w:val="21"/>
              </w:rPr>
            </w:pPr>
            <w:r>
              <w:rPr>
                <w:rFonts w:hint="eastAsia" w:eastAsia="仿宋" w:cs="Times New Roman"/>
                <w:sz w:val="21"/>
                <w:szCs w:val="21"/>
              </w:rPr>
              <w:t>2</w:t>
            </w:r>
            <w:r>
              <w:rPr>
                <w:rFonts w:eastAsia="仿宋" w:cs="Times New Roman"/>
                <w:sz w:val="21"/>
                <w:szCs w:val="21"/>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88" w:type="dxa"/>
            <w:vAlign w:val="center"/>
          </w:tcPr>
          <w:p>
            <w:pPr>
              <w:pStyle w:val="45"/>
              <w:rPr>
                <w:rFonts w:eastAsia="仿宋" w:cs="Times New Roman"/>
                <w:sz w:val="21"/>
                <w:szCs w:val="21"/>
              </w:rPr>
            </w:pPr>
            <w:r>
              <w:rPr>
                <w:rFonts w:hint="eastAsia" w:eastAsia="仿宋" w:cs="Times New Roman"/>
                <w:sz w:val="21"/>
                <w:szCs w:val="21"/>
              </w:rPr>
              <w:t>8</w:t>
            </w:r>
          </w:p>
        </w:tc>
        <w:tc>
          <w:tcPr>
            <w:tcW w:w="4515" w:type="dxa"/>
            <w:vAlign w:val="center"/>
          </w:tcPr>
          <w:p>
            <w:pPr>
              <w:pStyle w:val="45"/>
              <w:rPr>
                <w:rFonts w:eastAsia="仿宋" w:cs="Times New Roman"/>
                <w:sz w:val="21"/>
                <w:szCs w:val="21"/>
              </w:rPr>
            </w:pPr>
            <w:r>
              <w:rPr>
                <w:rFonts w:hint="eastAsia" w:eastAsia="仿宋" w:cs="Times New Roman"/>
                <w:sz w:val="21"/>
                <w:szCs w:val="21"/>
              </w:rPr>
              <w:t>湿地公园管理处</w:t>
            </w:r>
          </w:p>
        </w:tc>
        <w:tc>
          <w:tcPr>
            <w:tcW w:w="3600" w:type="dxa"/>
            <w:vAlign w:val="center"/>
          </w:tcPr>
          <w:p>
            <w:pPr>
              <w:pStyle w:val="45"/>
              <w:rPr>
                <w:rFonts w:eastAsia="仿宋" w:cs="Times New Roman"/>
                <w:sz w:val="21"/>
                <w:szCs w:val="21"/>
              </w:rPr>
            </w:pPr>
            <w:r>
              <w:rPr>
                <w:rFonts w:eastAsia="仿宋" w:cs="Times New Roman"/>
                <w:sz w:val="21"/>
                <w:szCs w:val="21"/>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88" w:type="dxa"/>
            <w:vAlign w:val="center"/>
          </w:tcPr>
          <w:p>
            <w:pPr>
              <w:pStyle w:val="45"/>
              <w:rPr>
                <w:rFonts w:eastAsia="仿宋" w:cs="Times New Roman"/>
                <w:sz w:val="21"/>
                <w:szCs w:val="21"/>
              </w:rPr>
            </w:pPr>
            <w:r>
              <w:rPr>
                <w:rFonts w:hint="eastAsia" w:eastAsia="仿宋" w:cs="Times New Roman"/>
                <w:sz w:val="21"/>
                <w:szCs w:val="21"/>
              </w:rPr>
              <w:t>9</w:t>
            </w:r>
          </w:p>
        </w:tc>
        <w:tc>
          <w:tcPr>
            <w:tcW w:w="4515" w:type="dxa"/>
            <w:vAlign w:val="center"/>
          </w:tcPr>
          <w:p>
            <w:pPr>
              <w:pStyle w:val="45"/>
              <w:rPr>
                <w:rFonts w:eastAsia="仿宋" w:cs="Times New Roman"/>
                <w:sz w:val="21"/>
                <w:szCs w:val="21"/>
              </w:rPr>
            </w:pPr>
            <w:r>
              <w:rPr>
                <w:rFonts w:hint="eastAsia" w:eastAsia="仿宋" w:cs="Times New Roman"/>
                <w:sz w:val="21"/>
                <w:szCs w:val="21"/>
              </w:rPr>
              <w:t>湿地管理站（</w:t>
            </w:r>
            <w:r>
              <w:rPr>
                <w:rFonts w:eastAsia="仿宋" w:cs="Times New Roman"/>
                <w:sz w:val="21"/>
                <w:szCs w:val="21"/>
              </w:rPr>
              <w:t>4</w:t>
            </w:r>
            <w:r>
              <w:rPr>
                <w:rFonts w:hint="eastAsia" w:eastAsia="仿宋" w:cs="Times New Roman"/>
                <w:sz w:val="21"/>
                <w:szCs w:val="21"/>
              </w:rPr>
              <w:t>处）</w:t>
            </w:r>
          </w:p>
        </w:tc>
        <w:tc>
          <w:tcPr>
            <w:tcW w:w="3600" w:type="dxa"/>
            <w:vAlign w:val="center"/>
          </w:tcPr>
          <w:p>
            <w:pPr>
              <w:pStyle w:val="45"/>
              <w:rPr>
                <w:rFonts w:eastAsia="仿宋" w:cs="Times New Roman"/>
                <w:sz w:val="21"/>
                <w:szCs w:val="21"/>
              </w:rPr>
            </w:pPr>
            <w:r>
              <w:rPr>
                <w:rFonts w:eastAsia="仿宋" w:cs="Times New Roman"/>
                <w:sz w:val="21"/>
                <w:szCs w:val="21"/>
              </w:rPr>
              <w:t>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88" w:type="dxa"/>
            <w:vAlign w:val="center"/>
          </w:tcPr>
          <w:p>
            <w:pPr>
              <w:pStyle w:val="45"/>
              <w:rPr>
                <w:rFonts w:eastAsia="仿宋" w:cs="Times New Roman"/>
                <w:sz w:val="21"/>
                <w:szCs w:val="21"/>
              </w:rPr>
            </w:pPr>
            <w:r>
              <w:rPr>
                <w:rFonts w:hint="eastAsia" w:eastAsia="仿宋" w:cs="Times New Roman"/>
                <w:sz w:val="21"/>
                <w:szCs w:val="21"/>
              </w:rPr>
              <w:t>10</w:t>
            </w:r>
          </w:p>
        </w:tc>
        <w:tc>
          <w:tcPr>
            <w:tcW w:w="4515" w:type="dxa"/>
            <w:vAlign w:val="center"/>
          </w:tcPr>
          <w:p>
            <w:pPr>
              <w:pStyle w:val="45"/>
              <w:rPr>
                <w:rFonts w:eastAsia="仿宋" w:cs="Times New Roman"/>
                <w:sz w:val="21"/>
                <w:szCs w:val="21"/>
              </w:rPr>
            </w:pPr>
            <w:r>
              <w:rPr>
                <w:rFonts w:hint="eastAsia" w:eastAsia="仿宋" w:cs="Times New Roman"/>
                <w:sz w:val="21"/>
                <w:szCs w:val="21"/>
              </w:rPr>
              <w:t>观光索道</w:t>
            </w:r>
          </w:p>
        </w:tc>
        <w:tc>
          <w:tcPr>
            <w:tcW w:w="3600" w:type="dxa"/>
            <w:vAlign w:val="center"/>
          </w:tcPr>
          <w:p>
            <w:pPr>
              <w:pStyle w:val="45"/>
              <w:rPr>
                <w:rFonts w:eastAsia="仿宋" w:cs="Times New Roman"/>
                <w:sz w:val="21"/>
                <w:szCs w:val="21"/>
              </w:rPr>
            </w:pPr>
            <w:r>
              <w:rPr>
                <w:rFonts w:eastAsia="仿宋" w:cs="Times New Roman"/>
                <w:sz w:val="21"/>
                <w:szCs w:val="21"/>
              </w:rPr>
              <w:t>3000</w:t>
            </w:r>
          </w:p>
        </w:tc>
      </w:tr>
    </w:tbl>
    <w:p>
      <w:pPr>
        <w:numPr>
          <w:ilvl w:val="255"/>
          <w:numId w:val="0"/>
        </w:numPr>
        <w:spacing w:before="197" w:beforeLines="50"/>
        <w:rPr>
          <w:rFonts w:cs="Times New Roman"/>
        </w:rPr>
      </w:pPr>
      <w:r>
        <w:rPr>
          <w:rFonts w:hint="eastAsia" w:cs="Times New Roman"/>
        </w:rPr>
        <w:t>（2）供配电设计</w:t>
      </w:r>
    </w:p>
    <w:p>
      <w:pPr>
        <w:ind w:firstLine="560"/>
        <w:rPr>
          <w:rFonts w:cs="Times New Roman"/>
        </w:rPr>
      </w:pPr>
      <w:r>
        <w:rPr>
          <w:rFonts w:hint="eastAsia" w:cs="Times New Roman"/>
        </w:rPr>
        <w:t>为了减少电压层次，根据我国现行电压标准，湿地公园内按两个电压层次设计：高压供电电压35</w:t>
      </w:r>
      <w:r>
        <w:rPr>
          <w:rFonts w:cs="Times New Roman"/>
        </w:rPr>
        <w:t>kV</w:t>
      </w:r>
      <w:r>
        <w:rPr>
          <w:rFonts w:hint="eastAsia" w:cs="Times New Roman"/>
        </w:rPr>
        <w:t>，低压配电10</w:t>
      </w:r>
      <w:r>
        <w:rPr>
          <w:rFonts w:cs="Times New Roman"/>
        </w:rPr>
        <w:t>kV</w:t>
      </w:r>
      <w:r>
        <w:rPr>
          <w:rFonts w:hint="eastAsia" w:cs="Times New Roman"/>
        </w:rPr>
        <w:t>。供配电时应满足防火、防洪等安全标准，具体建设标准按照《城市电力规划规范》（GB/T</w:t>
      </w:r>
      <w:r>
        <w:rPr>
          <w:rFonts w:cs="Times New Roman"/>
        </w:rPr>
        <w:t xml:space="preserve"> </w:t>
      </w:r>
      <w:r>
        <w:rPr>
          <w:rFonts w:hint="eastAsia" w:cs="Times New Roman"/>
        </w:rPr>
        <w:t>50293-2014）的规定执行。</w:t>
      </w:r>
    </w:p>
    <w:p>
      <w:pPr>
        <w:numPr>
          <w:ilvl w:val="255"/>
          <w:numId w:val="0"/>
        </w:numPr>
        <w:rPr>
          <w:rFonts w:cs="Times New Roman"/>
        </w:rPr>
      </w:pPr>
      <w:r>
        <w:rPr>
          <w:rFonts w:hint="eastAsia" w:cs="Times New Roman"/>
        </w:rPr>
        <w:t>（3）供电规划</w:t>
      </w:r>
    </w:p>
    <w:p>
      <w:pPr>
        <w:ind w:firstLine="560"/>
        <w:rPr>
          <w:rFonts w:cs="Times New Roman"/>
        </w:rPr>
      </w:pPr>
      <w:r>
        <w:rPr>
          <w:rFonts w:hint="eastAsia" w:cs="Times New Roman"/>
        </w:rPr>
        <w:t>本期供电工程主要针对规划新建建筑物的供电。本期规划的湿地科普宣教中心、游客服务中心、动物救助站、鱼类资源监测研究中心、湿地科研监测中心、气象观测站、水文监测站、湿地公园管理处、湿地管理站（</w:t>
      </w:r>
      <w:r>
        <w:rPr>
          <w:rFonts w:cs="Times New Roman"/>
        </w:rPr>
        <w:t>4</w:t>
      </w:r>
      <w:r>
        <w:rPr>
          <w:rFonts w:hint="eastAsia" w:cs="Times New Roman"/>
        </w:rPr>
        <w:t>处）、观光索道等</w:t>
      </w:r>
      <w:r>
        <w:rPr>
          <w:rFonts w:cs="Times New Roman"/>
        </w:rPr>
        <w:t>13</w:t>
      </w:r>
      <w:r>
        <w:rPr>
          <w:rFonts w:hint="eastAsia" w:cs="Times New Roman"/>
        </w:rPr>
        <w:t>处新建建筑物进行供电工程建设，就近接入低压线路，并进行供电线路的布设。</w:t>
      </w:r>
    </w:p>
    <w:p>
      <w:pPr>
        <w:pStyle w:val="5"/>
        <w:numPr>
          <w:ilvl w:val="1"/>
          <w:numId w:val="75"/>
        </w:numPr>
        <w:spacing w:before="197"/>
      </w:pPr>
      <w:bookmarkStart w:id="581" w:name="_Toc117114409"/>
      <w:bookmarkStart w:id="582" w:name="_Toc3181"/>
      <w:bookmarkStart w:id="583" w:name="_Toc8373"/>
      <w:bookmarkStart w:id="584" w:name="_Toc113925603"/>
      <w:bookmarkStart w:id="585" w:name="_Toc114084679"/>
      <w:bookmarkStart w:id="586" w:name="_Toc113925855"/>
      <w:r>
        <w:rPr>
          <w:rFonts w:hint="eastAsia"/>
        </w:rPr>
        <w:t>给排水工程规划</w:t>
      </w:r>
      <w:bookmarkEnd w:id="581"/>
      <w:bookmarkEnd w:id="582"/>
      <w:bookmarkEnd w:id="583"/>
      <w:bookmarkEnd w:id="584"/>
      <w:bookmarkEnd w:id="585"/>
      <w:bookmarkEnd w:id="586"/>
    </w:p>
    <w:p>
      <w:pPr>
        <w:ind w:firstLine="560"/>
        <w:rPr>
          <w:rFonts w:cs="Times New Roman"/>
        </w:rPr>
      </w:pPr>
      <w:r>
        <w:rPr>
          <w:rFonts w:hint="eastAsia" w:cs="Times New Roman"/>
        </w:rPr>
        <w:t>给排水规划包括生活、管理和消防用水的供给，给排水管线的规模以及雨污排放系统等。湿地公园给排水工程应满足《城市给水工程规划规范》（</w:t>
      </w:r>
      <w:r>
        <w:rPr>
          <w:rFonts w:cs="Times New Roman"/>
        </w:rPr>
        <w:t>GB50282-</w:t>
      </w:r>
      <w:r>
        <w:rPr>
          <w:rFonts w:hint="eastAsia" w:cs="Times New Roman"/>
        </w:rPr>
        <w:t>2016）和《城市排水工程规划规范》（</w:t>
      </w:r>
      <w:r>
        <w:rPr>
          <w:rFonts w:cs="Times New Roman"/>
        </w:rPr>
        <w:t>GB50318-</w:t>
      </w:r>
      <w:r>
        <w:rPr>
          <w:rFonts w:hint="eastAsia" w:cs="Times New Roman"/>
        </w:rPr>
        <w:t>2017）的相关规定。</w:t>
      </w:r>
    </w:p>
    <w:p>
      <w:pPr>
        <w:pStyle w:val="6"/>
        <w:numPr>
          <w:ilvl w:val="2"/>
          <w:numId w:val="76"/>
        </w:numPr>
      </w:pPr>
      <w:bookmarkStart w:id="587" w:name="_Toc113925604"/>
      <w:bookmarkStart w:id="588" w:name="_Toc113925856"/>
      <w:r>
        <w:rPr>
          <w:rFonts w:hint="eastAsia"/>
        </w:rPr>
        <w:t>给排水现状</w:t>
      </w:r>
      <w:bookmarkEnd w:id="587"/>
      <w:bookmarkEnd w:id="588"/>
    </w:p>
    <w:p>
      <w:pPr>
        <w:numPr>
          <w:ilvl w:val="0"/>
          <w:numId w:val="77"/>
        </w:numPr>
        <w:ind w:firstLine="560"/>
        <w:rPr>
          <w:rFonts w:cs="Times New Roman"/>
        </w:rPr>
      </w:pPr>
      <w:r>
        <w:rPr>
          <w:rFonts w:hint="eastAsia" w:cs="Times New Roman"/>
        </w:rPr>
        <w:t>给水现状</w:t>
      </w:r>
    </w:p>
    <w:p>
      <w:pPr>
        <w:ind w:firstLine="560"/>
        <w:rPr>
          <w:rFonts w:cs="Times New Roman"/>
        </w:rPr>
      </w:pPr>
      <w:r>
        <w:rPr>
          <w:rFonts w:hint="eastAsia" w:cs="Times New Roman"/>
        </w:rPr>
        <w:t>湿地公园内水资源丰富，水源无污染，水质好，属天然水源，公园内的生活、消防用水主要由仙阳湖供给，属分散型供水，没有建立市政供水体系。</w:t>
      </w:r>
    </w:p>
    <w:p>
      <w:pPr>
        <w:numPr>
          <w:ilvl w:val="0"/>
          <w:numId w:val="77"/>
        </w:numPr>
        <w:ind w:firstLine="560"/>
        <w:rPr>
          <w:rFonts w:cs="Times New Roman"/>
        </w:rPr>
      </w:pPr>
      <w:r>
        <w:rPr>
          <w:rFonts w:hint="eastAsia" w:cs="Times New Roman"/>
        </w:rPr>
        <w:t>排水现状</w:t>
      </w:r>
    </w:p>
    <w:p>
      <w:pPr>
        <w:ind w:firstLine="560"/>
        <w:rPr>
          <w:rFonts w:cs="Times New Roman"/>
        </w:rPr>
      </w:pPr>
      <w:r>
        <w:rPr>
          <w:rFonts w:hint="eastAsia" w:cs="Times New Roman"/>
        </w:rPr>
        <w:t>目前，涉及湿地公园8个乡镇的39个村，全部建设集中污水处理厂，乡镇建成区污水集中收集后达标排放，确保良好水质水体景观不受影响。此外，湿地公园周边分散居住居民生活污水、农户生产用水均为自由排放。厕所实行零排放，定期进行清理，作为农地肥料，不会对湿地公园产生较大影响。</w:t>
      </w:r>
    </w:p>
    <w:p>
      <w:pPr>
        <w:pStyle w:val="6"/>
        <w:numPr>
          <w:ilvl w:val="2"/>
          <w:numId w:val="76"/>
        </w:numPr>
      </w:pPr>
      <w:bookmarkStart w:id="589" w:name="_Toc113925857"/>
      <w:bookmarkStart w:id="590" w:name="_Toc113925605"/>
      <w:r>
        <w:rPr>
          <w:rFonts w:hint="eastAsia"/>
        </w:rPr>
        <w:t>给水规划</w:t>
      </w:r>
      <w:bookmarkEnd w:id="589"/>
      <w:bookmarkEnd w:id="590"/>
    </w:p>
    <w:p>
      <w:pPr>
        <w:numPr>
          <w:ilvl w:val="0"/>
          <w:numId w:val="78"/>
        </w:numPr>
        <w:ind w:firstLine="560"/>
        <w:rPr>
          <w:rFonts w:cs="Times New Roman"/>
        </w:rPr>
      </w:pPr>
      <w:r>
        <w:rPr>
          <w:rFonts w:hint="eastAsia" w:cs="Times New Roman"/>
        </w:rPr>
        <w:t>用水量估算</w:t>
      </w:r>
    </w:p>
    <w:p>
      <w:pPr>
        <w:ind w:firstLine="560"/>
        <w:rPr>
          <w:rFonts w:cs="Times New Roman"/>
        </w:rPr>
      </w:pPr>
      <w:r>
        <w:rPr>
          <w:rFonts w:hint="eastAsia" w:cs="Times New Roman"/>
        </w:rPr>
        <w:t>湿地公园内用水主要包括生活用水、消防用水及绿地灌溉用水。规划根据远期园区的发展状况、居民生活水平、旅游设施规模及水资源情况等，计算湿地公园内最高日最高时设计用水量，给水管网设计流量需满足最高日最高时用水量。消防给水与生活给水同网，采用低压制，各功能分区重要建筑处设置消火栓。</w:t>
      </w:r>
    </w:p>
    <w:p>
      <w:pPr>
        <w:ind w:firstLine="560"/>
        <w:rPr>
          <w:rFonts w:cs="Times New Roman"/>
        </w:rPr>
      </w:pPr>
      <w:r>
        <w:rPr>
          <w:rFonts w:hint="eastAsia" w:cs="Times New Roman"/>
        </w:rPr>
        <w:t>按照《室外给水设计标准》（GB</w:t>
      </w:r>
      <w:r>
        <w:rPr>
          <w:rFonts w:cs="Times New Roman"/>
        </w:rPr>
        <w:t xml:space="preserve"> </w:t>
      </w:r>
      <w:r>
        <w:rPr>
          <w:rFonts w:hint="eastAsia" w:cs="Times New Roman"/>
        </w:rPr>
        <w:t>50013-2018）、《湖南省用水定额》（DB43/T388-2020），公园最大日用水量为</w:t>
      </w:r>
      <w:r>
        <w:rPr>
          <w:rFonts w:cs="Times New Roman"/>
        </w:rPr>
        <w:t>328.24</w:t>
      </w:r>
      <w:r>
        <w:rPr>
          <w:rFonts w:hint="eastAsia" w:cs="Times New Roman"/>
        </w:rPr>
        <w:t>吨，给水单位最大日用水量估算见表11-2。</w:t>
      </w:r>
    </w:p>
    <w:p>
      <w:pPr>
        <w:pStyle w:val="14"/>
        <w:spacing w:before="197" w:after="0" w:afterLines="0"/>
        <w:rPr>
          <w:rFonts w:ascii="黑体" w:hAnsi="黑体" w:cs="黑体"/>
          <w:sz w:val="24"/>
          <w:szCs w:val="24"/>
        </w:rPr>
      </w:pPr>
      <w:r>
        <w:rPr>
          <w:rFonts w:hint="eastAsia" w:ascii="黑体" w:hAnsi="黑体" w:cs="黑体"/>
          <w:sz w:val="24"/>
          <w:szCs w:val="24"/>
        </w:rPr>
        <w:t>公园用水量估算</w:t>
      </w:r>
    </w:p>
    <w:p>
      <w:pPr>
        <w:spacing w:line="240" w:lineRule="auto"/>
        <w:ind w:firstLine="0" w:firstLineChars="0"/>
        <w:rPr>
          <w:rFonts w:cs="Times New Roman"/>
          <w:sz w:val="21"/>
          <w:szCs w:val="21"/>
        </w:rPr>
      </w:pPr>
      <w:r>
        <w:rPr>
          <w:rFonts w:hint="eastAsia" w:ascii="黑体" w:hAnsi="黑体" w:eastAsia="黑体" w:cs="黑体"/>
          <w:sz w:val="21"/>
          <w:szCs w:val="21"/>
        </w:rPr>
        <w:t>表</w:t>
      </w:r>
      <w:r>
        <w:rPr>
          <w:rFonts w:hint="eastAsia" w:cs="Times New Roman"/>
          <w:sz w:val="21"/>
          <w:szCs w:val="21"/>
        </w:rPr>
        <w:t xml:space="preserve"> </w:t>
      </w:r>
      <w:r>
        <w:rPr>
          <w:rFonts w:cs="Times New Roman"/>
          <w:sz w:val="21"/>
          <w:szCs w:val="21"/>
        </w:rPr>
        <w:fldChar w:fldCharType="begin"/>
      </w:r>
      <w:r>
        <w:rPr>
          <w:rFonts w:cs="Times New Roman"/>
          <w:sz w:val="21"/>
          <w:szCs w:val="21"/>
        </w:rPr>
        <w:instrText xml:space="preserve"> </w:instrText>
      </w:r>
      <w:r>
        <w:rPr>
          <w:rFonts w:hint="eastAsia" w:cs="Times New Roman"/>
          <w:sz w:val="21"/>
          <w:szCs w:val="21"/>
        </w:rPr>
        <w:instrText xml:space="preserve">STYLEREF 1 \s</w:instrText>
      </w:r>
      <w:r>
        <w:rPr>
          <w:rFonts w:cs="Times New Roman"/>
          <w:sz w:val="21"/>
          <w:szCs w:val="21"/>
        </w:rPr>
        <w:instrText xml:space="preserve"> </w:instrText>
      </w:r>
      <w:r>
        <w:rPr>
          <w:rFonts w:cs="Times New Roman"/>
          <w:sz w:val="21"/>
          <w:szCs w:val="21"/>
        </w:rPr>
        <w:fldChar w:fldCharType="separate"/>
      </w:r>
      <w:r>
        <w:rPr>
          <w:rFonts w:cs="Times New Roman"/>
          <w:sz w:val="21"/>
          <w:szCs w:val="21"/>
        </w:rPr>
        <w:t>11</w:t>
      </w:r>
      <w:r>
        <w:rPr>
          <w:rFonts w:cs="Times New Roman"/>
          <w:sz w:val="21"/>
          <w:szCs w:val="21"/>
        </w:rPr>
        <w:fldChar w:fldCharType="end"/>
      </w:r>
      <w:r>
        <w:rPr>
          <w:rFonts w:cs="Times New Roman"/>
          <w:sz w:val="21"/>
          <w:szCs w:val="21"/>
        </w:rPr>
        <w:t>-</w:t>
      </w:r>
      <w:r>
        <w:rPr>
          <w:rFonts w:cs="Times New Roman"/>
          <w:sz w:val="21"/>
          <w:szCs w:val="21"/>
        </w:rPr>
        <w:fldChar w:fldCharType="begin"/>
      </w:r>
      <w:r>
        <w:rPr>
          <w:rFonts w:cs="Times New Roman"/>
          <w:sz w:val="21"/>
          <w:szCs w:val="21"/>
        </w:rPr>
        <w:instrText xml:space="preserve"> </w:instrText>
      </w:r>
      <w:r>
        <w:rPr>
          <w:rFonts w:hint="eastAsia" w:cs="Times New Roman"/>
          <w:sz w:val="21"/>
          <w:szCs w:val="21"/>
        </w:rPr>
        <w:instrText xml:space="preserve">SEQ 表 \* ARABIC \s 1</w:instrText>
      </w:r>
      <w:r>
        <w:rPr>
          <w:rFonts w:cs="Times New Roman"/>
          <w:sz w:val="21"/>
          <w:szCs w:val="21"/>
        </w:rPr>
        <w:instrText xml:space="preserve"> </w:instrText>
      </w:r>
      <w:r>
        <w:rPr>
          <w:rFonts w:cs="Times New Roman"/>
          <w:sz w:val="21"/>
          <w:szCs w:val="21"/>
        </w:rPr>
        <w:fldChar w:fldCharType="separate"/>
      </w:r>
      <w:r>
        <w:rPr>
          <w:rFonts w:cs="Times New Roman"/>
          <w:sz w:val="21"/>
          <w:szCs w:val="21"/>
        </w:rPr>
        <w:t>2</w:t>
      </w:r>
      <w:r>
        <w:rPr>
          <w:rFonts w:cs="Times New Roman"/>
          <w:sz w:val="21"/>
          <w:szCs w:val="21"/>
        </w:rPr>
        <w:fldChar w:fldCharType="end"/>
      </w:r>
    </w:p>
    <w:tbl>
      <w:tblPr>
        <w:tblStyle w:val="33"/>
        <w:tblW w:w="0" w:type="auto"/>
        <w:tblInd w:w="14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0"/>
        <w:gridCol w:w="3060"/>
        <w:gridCol w:w="2701"/>
        <w:gridCol w:w="21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930" w:type="dxa"/>
            <w:vAlign w:val="center"/>
          </w:tcPr>
          <w:p>
            <w:pPr>
              <w:pStyle w:val="45"/>
              <w:rPr>
                <w:rFonts w:eastAsia="仿宋" w:cs="Times New Roman"/>
                <w:b/>
                <w:bCs/>
                <w:sz w:val="21"/>
                <w:szCs w:val="21"/>
              </w:rPr>
            </w:pPr>
            <w:r>
              <w:rPr>
                <w:rFonts w:hint="eastAsia" w:eastAsia="仿宋" w:cs="Times New Roman"/>
                <w:b/>
                <w:bCs/>
                <w:sz w:val="21"/>
                <w:szCs w:val="21"/>
              </w:rPr>
              <w:t>序号</w:t>
            </w:r>
          </w:p>
        </w:tc>
        <w:tc>
          <w:tcPr>
            <w:tcW w:w="3060" w:type="dxa"/>
            <w:vAlign w:val="center"/>
          </w:tcPr>
          <w:p>
            <w:pPr>
              <w:pStyle w:val="45"/>
              <w:rPr>
                <w:rFonts w:eastAsia="仿宋" w:cs="Times New Roman"/>
                <w:b/>
                <w:bCs/>
                <w:sz w:val="21"/>
                <w:szCs w:val="21"/>
              </w:rPr>
            </w:pPr>
            <w:r>
              <w:rPr>
                <w:rFonts w:hint="eastAsia" w:eastAsia="仿宋" w:cs="Times New Roman"/>
                <w:b/>
                <w:bCs/>
                <w:sz w:val="21"/>
                <w:szCs w:val="21"/>
              </w:rPr>
              <w:t>地点</w:t>
            </w:r>
          </w:p>
        </w:tc>
        <w:tc>
          <w:tcPr>
            <w:tcW w:w="2701" w:type="dxa"/>
            <w:vAlign w:val="center"/>
          </w:tcPr>
          <w:p>
            <w:pPr>
              <w:pStyle w:val="45"/>
              <w:rPr>
                <w:rFonts w:eastAsia="仿宋" w:cs="Times New Roman"/>
                <w:b/>
                <w:bCs/>
                <w:sz w:val="21"/>
                <w:szCs w:val="21"/>
              </w:rPr>
            </w:pPr>
            <w:r>
              <w:rPr>
                <w:rFonts w:hint="eastAsia" w:eastAsia="仿宋" w:cs="Times New Roman"/>
                <w:b/>
                <w:bCs/>
                <w:sz w:val="21"/>
                <w:szCs w:val="21"/>
              </w:rPr>
              <w:t>用水指标</w:t>
            </w:r>
          </w:p>
        </w:tc>
        <w:tc>
          <w:tcPr>
            <w:tcW w:w="2114" w:type="dxa"/>
            <w:vAlign w:val="center"/>
          </w:tcPr>
          <w:p>
            <w:pPr>
              <w:pStyle w:val="45"/>
              <w:rPr>
                <w:rFonts w:eastAsia="仿宋" w:cs="Times New Roman"/>
                <w:b/>
                <w:bCs/>
                <w:sz w:val="21"/>
                <w:szCs w:val="21"/>
              </w:rPr>
            </w:pPr>
            <w:r>
              <w:rPr>
                <w:rFonts w:hint="eastAsia" w:eastAsia="仿宋" w:cs="Times New Roman"/>
                <w:b/>
                <w:bCs/>
                <w:sz w:val="21"/>
                <w:szCs w:val="21"/>
              </w:rPr>
              <w:t>用水量（吨）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0" w:type="dxa"/>
            <w:vAlign w:val="center"/>
          </w:tcPr>
          <w:p>
            <w:pPr>
              <w:pStyle w:val="45"/>
              <w:rPr>
                <w:rFonts w:eastAsia="仿宋" w:cs="Times New Roman"/>
                <w:sz w:val="21"/>
                <w:szCs w:val="21"/>
              </w:rPr>
            </w:pPr>
            <w:r>
              <w:rPr>
                <w:rFonts w:hint="eastAsia" w:eastAsia="仿宋" w:cs="Times New Roman"/>
                <w:sz w:val="21"/>
                <w:szCs w:val="21"/>
              </w:rPr>
              <w:t>1</w:t>
            </w:r>
          </w:p>
        </w:tc>
        <w:tc>
          <w:tcPr>
            <w:tcW w:w="3060" w:type="dxa"/>
            <w:vAlign w:val="center"/>
          </w:tcPr>
          <w:p>
            <w:pPr>
              <w:pStyle w:val="45"/>
              <w:rPr>
                <w:rFonts w:eastAsia="仿宋" w:cs="Times New Roman"/>
                <w:sz w:val="21"/>
                <w:szCs w:val="21"/>
              </w:rPr>
            </w:pPr>
            <w:r>
              <w:rPr>
                <w:rFonts w:hint="eastAsia" w:eastAsia="仿宋" w:cs="Times New Roman"/>
                <w:sz w:val="21"/>
                <w:szCs w:val="21"/>
              </w:rPr>
              <w:t>湿地科普宣教中心</w:t>
            </w:r>
          </w:p>
        </w:tc>
        <w:tc>
          <w:tcPr>
            <w:tcW w:w="2701" w:type="dxa"/>
            <w:vAlign w:val="center"/>
          </w:tcPr>
          <w:p>
            <w:pPr>
              <w:pStyle w:val="45"/>
              <w:rPr>
                <w:rFonts w:eastAsia="仿宋" w:cs="Times New Roman"/>
                <w:sz w:val="21"/>
                <w:szCs w:val="21"/>
              </w:rPr>
            </w:pPr>
            <w:r>
              <w:rPr>
                <w:rFonts w:hint="eastAsia" w:eastAsia="仿宋" w:cs="Times New Roman"/>
                <w:sz w:val="21"/>
                <w:szCs w:val="21"/>
              </w:rPr>
              <w:t>10升/人·日</w:t>
            </w:r>
          </w:p>
        </w:tc>
        <w:tc>
          <w:tcPr>
            <w:tcW w:w="2114" w:type="dxa"/>
            <w:vAlign w:val="center"/>
          </w:tcPr>
          <w:p>
            <w:pPr>
              <w:pStyle w:val="45"/>
              <w:rPr>
                <w:rFonts w:eastAsia="仿宋" w:cs="Times New Roman"/>
                <w:sz w:val="21"/>
                <w:szCs w:val="21"/>
              </w:rPr>
            </w:pPr>
            <w:r>
              <w:rPr>
                <w:rFonts w:eastAsia="仿宋" w:cs="Times New Roman"/>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0" w:type="dxa"/>
            <w:vAlign w:val="center"/>
          </w:tcPr>
          <w:p>
            <w:pPr>
              <w:pStyle w:val="45"/>
              <w:rPr>
                <w:rFonts w:eastAsia="仿宋" w:cs="Times New Roman"/>
                <w:sz w:val="21"/>
                <w:szCs w:val="21"/>
              </w:rPr>
            </w:pPr>
            <w:r>
              <w:rPr>
                <w:rFonts w:hint="eastAsia" w:eastAsia="仿宋" w:cs="Times New Roman"/>
                <w:sz w:val="21"/>
                <w:szCs w:val="21"/>
              </w:rPr>
              <w:t>2</w:t>
            </w:r>
          </w:p>
        </w:tc>
        <w:tc>
          <w:tcPr>
            <w:tcW w:w="3060" w:type="dxa"/>
            <w:vAlign w:val="center"/>
          </w:tcPr>
          <w:p>
            <w:pPr>
              <w:pStyle w:val="45"/>
              <w:rPr>
                <w:rFonts w:eastAsia="仿宋" w:cs="Times New Roman"/>
                <w:sz w:val="21"/>
                <w:szCs w:val="21"/>
              </w:rPr>
            </w:pPr>
            <w:r>
              <w:rPr>
                <w:rFonts w:hint="eastAsia" w:eastAsia="仿宋" w:cs="Times New Roman"/>
                <w:sz w:val="21"/>
                <w:szCs w:val="21"/>
              </w:rPr>
              <w:t>动物救助站</w:t>
            </w:r>
          </w:p>
        </w:tc>
        <w:tc>
          <w:tcPr>
            <w:tcW w:w="2701" w:type="dxa"/>
            <w:vAlign w:val="center"/>
          </w:tcPr>
          <w:p>
            <w:pPr>
              <w:pStyle w:val="45"/>
              <w:rPr>
                <w:rFonts w:eastAsia="仿宋" w:cs="Times New Roman"/>
                <w:sz w:val="21"/>
                <w:szCs w:val="21"/>
              </w:rPr>
            </w:pPr>
            <w:r>
              <w:rPr>
                <w:rFonts w:hint="eastAsia" w:eastAsia="仿宋" w:cs="Times New Roman"/>
                <w:sz w:val="21"/>
                <w:szCs w:val="21"/>
              </w:rPr>
              <w:t>10升/人·日</w:t>
            </w:r>
          </w:p>
        </w:tc>
        <w:tc>
          <w:tcPr>
            <w:tcW w:w="2114" w:type="dxa"/>
            <w:vAlign w:val="center"/>
          </w:tcPr>
          <w:p>
            <w:pPr>
              <w:pStyle w:val="45"/>
              <w:rPr>
                <w:rFonts w:eastAsia="仿宋" w:cs="Times New Roman"/>
                <w:sz w:val="21"/>
                <w:szCs w:val="21"/>
              </w:rPr>
            </w:pPr>
            <w:r>
              <w:rPr>
                <w:rFonts w:hint="eastAsia" w:eastAsia="仿宋" w:cs="Times New Roman"/>
                <w:sz w:val="21"/>
                <w:szCs w:val="21"/>
              </w:rPr>
              <w:t>2</w:t>
            </w:r>
            <w:r>
              <w:rPr>
                <w:rFonts w:eastAsia="仿宋" w:cs="Times New Roman"/>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0" w:type="dxa"/>
            <w:vAlign w:val="center"/>
          </w:tcPr>
          <w:p>
            <w:pPr>
              <w:pStyle w:val="45"/>
              <w:rPr>
                <w:rFonts w:eastAsia="仿宋" w:cs="Times New Roman"/>
                <w:sz w:val="21"/>
                <w:szCs w:val="21"/>
              </w:rPr>
            </w:pPr>
            <w:r>
              <w:rPr>
                <w:rFonts w:hint="eastAsia" w:eastAsia="仿宋" w:cs="Times New Roman"/>
                <w:sz w:val="21"/>
                <w:szCs w:val="21"/>
              </w:rPr>
              <w:t>3</w:t>
            </w:r>
          </w:p>
        </w:tc>
        <w:tc>
          <w:tcPr>
            <w:tcW w:w="3060" w:type="dxa"/>
            <w:vAlign w:val="center"/>
          </w:tcPr>
          <w:p>
            <w:pPr>
              <w:pStyle w:val="45"/>
              <w:rPr>
                <w:rFonts w:eastAsia="仿宋" w:cs="Times New Roman"/>
                <w:sz w:val="21"/>
                <w:szCs w:val="21"/>
              </w:rPr>
            </w:pPr>
            <w:r>
              <w:rPr>
                <w:rFonts w:hint="eastAsia" w:eastAsia="仿宋" w:cs="Times New Roman"/>
                <w:sz w:val="21"/>
                <w:szCs w:val="21"/>
              </w:rPr>
              <w:t>鱼类资源监测研究中心</w:t>
            </w:r>
          </w:p>
        </w:tc>
        <w:tc>
          <w:tcPr>
            <w:tcW w:w="2701" w:type="dxa"/>
            <w:vAlign w:val="center"/>
          </w:tcPr>
          <w:p>
            <w:pPr>
              <w:pStyle w:val="45"/>
              <w:rPr>
                <w:rFonts w:eastAsia="仿宋" w:cs="Times New Roman"/>
                <w:sz w:val="21"/>
                <w:szCs w:val="21"/>
              </w:rPr>
            </w:pPr>
            <w:r>
              <w:rPr>
                <w:rFonts w:hint="eastAsia" w:eastAsia="仿宋" w:cs="Times New Roman"/>
                <w:sz w:val="21"/>
                <w:szCs w:val="21"/>
              </w:rPr>
              <w:t>10升/人·日</w:t>
            </w:r>
          </w:p>
        </w:tc>
        <w:tc>
          <w:tcPr>
            <w:tcW w:w="2114" w:type="dxa"/>
            <w:vAlign w:val="center"/>
          </w:tcPr>
          <w:p>
            <w:pPr>
              <w:pStyle w:val="45"/>
              <w:rPr>
                <w:rFonts w:eastAsia="仿宋" w:cs="Times New Roman"/>
                <w:sz w:val="21"/>
                <w:szCs w:val="21"/>
              </w:rPr>
            </w:pPr>
            <w:r>
              <w:rPr>
                <w:rFonts w:hint="eastAsia" w:eastAsia="仿宋" w:cs="Times New Roman"/>
                <w:sz w:val="21"/>
                <w:szCs w:val="21"/>
              </w:rPr>
              <w:t>3</w:t>
            </w:r>
            <w:r>
              <w:rPr>
                <w:rFonts w:eastAsia="仿宋" w:cs="Times New Roman"/>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0" w:type="dxa"/>
            <w:vAlign w:val="center"/>
          </w:tcPr>
          <w:p>
            <w:pPr>
              <w:pStyle w:val="45"/>
              <w:rPr>
                <w:rFonts w:eastAsia="仿宋" w:cs="Times New Roman"/>
                <w:sz w:val="21"/>
                <w:szCs w:val="21"/>
              </w:rPr>
            </w:pPr>
            <w:r>
              <w:rPr>
                <w:rFonts w:hint="eastAsia" w:eastAsia="仿宋" w:cs="Times New Roman"/>
                <w:sz w:val="21"/>
                <w:szCs w:val="21"/>
              </w:rPr>
              <w:t>4</w:t>
            </w:r>
          </w:p>
        </w:tc>
        <w:tc>
          <w:tcPr>
            <w:tcW w:w="3060" w:type="dxa"/>
            <w:vAlign w:val="center"/>
          </w:tcPr>
          <w:p>
            <w:pPr>
              <w:pStyle w:val="45"/>
              <w:rPr>
                <w:rFonts w:eastAsia="仿宋" w:cs="Times New Roman"/>
                <w:sz w:val="21"/>
                <w:szCs w:val="21"/>
              </w:rPr>
            </w:pPr>
            <w:r>
              <w:rPr>
                <w:rFonts w:hint="eastAsia" w:eastAsia="仿宋" w:cs="Times New Roman"/>
                <w:sz w:val="21"/>
                <w:szCs w:val="21"/>
              </w:rPr>
              <w:t>游客服务中心</w:t>
            </w:r>
          </w:p>
        </w:tc>
        <w:tc>
          <w:tcPr>
            <w:tcW w:w="2701" w:type="dxa"/>
            <w:vAlign w:val="center"/>
          </w:tcPr>
          <w:p>
            <w:pPr>
              <w:pStyle w:val="45"/>
              <w:rPr>
                <w:rFonts w:eastAsia="仿宋" w:cs="Times New Roman"/>
                <w:sz w:val="21"/>
                <w:szCs w:val="21"/>
              </w:rPr>
            </w:pPr>
            <w:r>
              <w:rPr>
                <w:rFonts w:hint="eastAsia" w:eastAsia="仿宋" w:cs="Times New Roman"/>
                <w:sz w:val="21"/>
                <w:szCs w:val="21"/>
              </w:rPr>
              <w:t>10升/人·日</w:t>
            </w:r>
          </w:p>
        </w:tc>
        <w:tc>
          <w:tcPr>
            <w:tcW w:w="2114" w:type="dxa"/>
            <w:vAlign w:val="center"/>
          </w:tcPr>
          <w:p>
            <w:pPr>
              <w:pStyle w:val="45"/>
              <w:rPr>
                <w:rFonts w:eastAsia="仿宋" w:cs="Times New Roman"/>
                <w:sz w:val="21"/>
                <w:szCs w:val="21"/>
              </w:rPr>
            </w:pPr>
            <w:r>
              <w:rPr>
                <w:rFonts w:eastAsia="仿宋" w:cs="Times New Roman"/>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0" w:type="dxa"/>
            <w:vAlign w:val="center"/>
          </w:tcPr>
          <w:p>
            <w:pPr>
              <w:pStyle w:val="45"/>
              <w:rPr>
                <w:rFonts w:eastAsia="仿宋" w:cs="Times New Roman"/>
                <w:sz w:val="21"/>
                <w:szCs w:val="21"/>
              </w:rPr>
            </w:pPr>
            <w:r>
              <w:rPr>
                <w:rFonts w:hint="eastAsia" w:eastAsia="仿宋" w:cs="Times New Roman"/>
                <w:sz w:val="21"/>
                <w:szCs w:val="21"/>
              </w:rPr>
              <w:t>5</w:t>
            </w:r>
          </w:p>
        </w:tc>
        <w:tc>
          <w:tcPr>
            <w:tcW w:w="3060" w:type="dxa"/>
            <w:vAlign w:val="center"/>
          </w:tcPr>
          <w:p>
            <w:pPr>
              <w:pStyle w:val="45"/>
              <w:rPr>
                <w:rFonts w:eastAsia="仿宋" w:cs="Times New Roman"/>
                <w:sz w:val="21"/>
                <w:szCs w:val="21"/>
              </w:rPr>
            </w:pPr>
            <w:r>
              <w:rPr>
                <w:rFonts w:hint="eastAsia" w:eastAsia="仿宋" w:cs="Times New Roman"/>
                <w:sz w:val="21"/>
                <w:szCs w:val="21"/>
              </w:rPr>
              <w:t>湿地科研监测中心</w:t>
            </w:r>
          </w:p>
        </w:tc>
        <w:tc>
          <w:tcPr>
            <w:tcW w:w="2701" w:type="dxa"/>
            <w:vAlign w:val="center"/>
          </w:tcPr>
          <w:p>
            <w:pPr>
              <w:pStyle w:val="45"/>
              <w:rPr>
                <w:rFonts w:eastAsia="仿宋" w:cs="Times New Roman"/>
                <w:sz w:val="21"/>
                <w:szCs w:val="21"/>
              </w:rPr>
            </w:pPr>
            <w:r>
              <w:rPr>
                <w:rFonts w:hint="eastAsia" w:eastAsia="仿宋" w:cs="Times New Roman"/>
                <w:sz w:val="21"/>
                <w:szCs w:val="21"/>
              </w:rPr>
              <w:t>1.5升/人·日</w:t>
            </w:r>
          </w:p>
        </w:tc>
        <w:tc>
          <w:tcPr>
            <w:tcW w:w="2114" w:type="dxa"/>
            <w:vAlign w:val="center"/>
          </w:tcPr>
          <w:p>
            <w:pPr>
              <w:pStyle w:val="45"/>
              <w:rPr>
                <w:rFonts w:eastAsia="仿宋" w:cs="Times New Roman"/>
                <w:sz w:val="21"/>
                <w:szCs w:val="21"/>
              </w:rPr>
            </w:pPr>
            <w:r>
              <w:rPr>
                <w:rFonts w:eastAsia="仿宋" w:cs="Times New Roman"/>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0" w:type="dxa"/>
            <w:vAlign w:val="center"/>
          </w:tcPr>
          <w:p>
            <w:pPr>
              <w:pStyle w:val="45"/>
              <w:rPr>
                <w:rFonts w:eastAsia="仿宋" w:cs="Times New Roman"/>
                <w:sz w:val="21"/>
                <w:szCs w:val="21"/>
              </w:rPr>
            </w:pPr>
            <w:r>
              <w:rPr>
                <w:rFonts w:hint="eastAsia" w:eastAsia="仿宋" w:cs="Times New Roman"/>
                <w:sz w:val="21"/>
                <w:szCs w:val="21"/>
              </w:rPr>
              <w:t>6</w:t>
            </w:r>
          </w:p>
        </w:tc>
        <w:tc>
          <w:tcPr>
            <w:tcW w:w="3060" w:type="dxa"/>
            <w:vAlign w:val="center"/>
          </w:tcPr>
          <w:p>
            <w:pPr>
              <w:pStyle w:val="45"/>
              <w:rPr>
                <w:rFonts w:eastAsia="仿宋" w:cs="Times New Roman"/>
                <w:sz w:val="21"/>
                <w:szCs w:val="21"/>
              </w:rPr>
            </w:pPr>
            <w:r>
              <w:rPr>
                <w:rFonts w:hint="eastAsia" w:eastAsia="仿宋" w:cs="Times New Roman"/>
                <w:sz w:val="21"/>
                <w:szCs w:val="21"/>
              </w:rPr>
              <w:t>湿地公园管理处</w:t>
            </w:r>
          </w:p>
        </w:tc>
        <w:tc>
          <w:tcPr>
            <w:tcW w:w="2701" w:type="dxa"/>
            <w:vAlign w:val="center"/>
          </w:tcPr>
          <w:p>
            <w:pPr>
              <w:pStyle w:val="45"/>
              <w:rPr>
                <w:rFonts w:eastAsia="仿宋" w:cs="Times New Roman"/>
                <w:sz w:val="21"/>
                <w:szCs w:val="21"/>
              </w:rPr>
            </w:pPr>
            <w:r>
              <w:rPr>
                <w:rFonts w:hint="eastAsia" w:eastAsia="仿宋" w:cs="Times New Roman"/>
                <w:sz w:val="21"/>
                <w:szCs w:val="21"/>
              </w:rPr>
              <w:t>1.5升/人·日</w:t>
            </w:r>
          </w:p>
        </w:tc>
        <w:tc>
          <w:tcPr>
            <w:tcW w:w="2114" w:type="dxa"/>
            <w:vAlign w:val="center"/>
          </w:tcPr>
          <w:p>
            <w:pPr>
              <w:pStyle w:val="45"/>
              <w:rPr>
                <w:rFonts w:eastAsia="仿宋" w:cs="Times New Roman"/>
                <w:sz w:val="21"/>
                <w:szCs w:val="21"/>
              </w:rPr>
            </w:pPr>
            <w:r>
              <w:rPr>
                <w:rFonts w:eastAsia="仿宋" w:cs="Times New Roman"/>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0" w:type="dxa"/>
            <w:vAlign w:val="center"/>
          </w:tcPr>
          <w:p>
            <w:pPr>
              <w:pStyle w:val="45"/>
              <w:rPr>
                <w:rFonts w:eastAsia="仿宋" w:cs="Times New Roman"/>
                <w:sz w:val="21"/>
                <w:szCs w:val="21"/>
              </w:rPr>
            </w:pPr>
            <w:r>
              <w:rPr>
                <w:rFonts w:hint="eastAsia" w:eastAsia="仿宋" w:cs="Times New Roman"/>
                <w:sz w:val="21"/>
                <w:szCs w:val="21"/>
              </w:rPr>
              <w:t>7</w:t>
            </w:r>
          </w:p>
        </w:tc>
        <w:tc>
          <w:tcPr>
            <w:tcW w:w="3060" w:type="dxa"/>
            <w:vAlign w:val="center"/>
          </w:tcPr>
          <w:p>
            <w:pPr>
              <w:pStyle w:val="45"/>
              <w:rPr>
                <w:rFonts w:eastAsia="仿宋" w:cs="Times New Roman"/>
                <w:sz w:val="21"/>
                <w:szCs w:val="21"/>
              </w:rPr>
            </w:pPr>
            <w:r>
              <w:rPr>
                <w:rFonts w:hint="eastAsia" w:eastAsia="仿宋" w:cs="Times New Roman"/>
                <w:sz w:val="21"/>
                <w:szCs w:val="21"/>
              </w:rPr>
              <w:t>湿地管理站（</w:t>
            </w:r>
            <w:r>
              <w:rPr>
                <w:rFonts w:eastAsia="仿宋" w:cs="Times New Roman"/>
                <w:sz w:val="21"/>
                <w:szCs w:val="21"/>
              </w:rPr>
              <w:t>4</w:t>
            </w:r>
            <w:r>
              <w:rPr>
                <w:rFonts w:hint="eastAsia" w:eastAsia="仿宋" w:cs="Times New Roman"/>
                <w:sz w:val="21"/>
                <w:szCs w:val="21"/>
              </w:rPr>
              <w:t>处）</w:t>
            </w:r>
          </w:p>
        </w:tc>
        <w:tc>
          <w:tcPr>
            <w:tcW w:w="2701" w:type="dxa"/>
            <w:vAlign w:val="center"/>
          </w:tcPr>
          <w:p>
            <w:pPr>
              <w:pStyle w:val="45"/>
              <w:rPr>
                <w:rFonts w:eastAsia="仿宋" w:cs="Times New Roman"/>
                <w:sz w:val="21"/>
                <w:szCs w:val="21"/>
              </w:rPr>
            </w:pPr>
            <w:r>
              <w:rPr>
                <w:rFonts w:hint="eastAsia" w:eastAsia="仿宋" w:cs="Times New Roman"/>
                <w:sz w:val="21"/>
                <w:szCs w:val="21"/>
              </w:rPr>
              <w:t>1.5升/人·日</w:t>
            </w:r>
          </w:p>
        </w:tc>
        <w:tc>
          <w:tcPr>
            <w:tcW w:w="2114" w:type="dxa"/>
            <w:vAlign w:val="center"/>
          </w:tcPr>
          <w:p>
            <w:pPr>
              <w:pStyle w:val="45"/>
              <w:rPr>
                <w:rFonts w:eastAsia="仿宋" w:cs="Times New Roman"/>
                <w:sz w:val="21"/>
                <w:szCs w:val="21"/>
              </w:rPr>
            </w:pPr>
            <w:r>
              <w:rPr>
                <w:rFonts w:eastAsia="仿宋" w:cs="Times New Roman"/>
                <w:sz w:val="21"/>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0" w:type="dxa"/>
            <w:vAlign w:val="center"/>
          </w:tcPr>
          <w:p>
            <w:pPr>
              <w:pStyle w:val="45"/>
              <w:rPr>
                <w:rFonts w:eastAsia="仿宋" w:cs="Times New Roman"/>
                <w:sz w:val="21"/>
                <w:szCs w:val="21"/>
              </w:rPr>
            </w:pPr>
            <w:r>
              <w:rPr>
                <w:rFonts w:hint="eastAsia" w:eastAsia="仿宋" w:cs="Times New Roman"/>
                <w:sz w:val="21"/>
                <w:szCs w:val="21"/>
              </w:rPr>
              <w:t>8</w:t>
            </w:r>
          </w:p>
        </w:tc>
        <w:tc>
          <w:tcPr>
            <w:tcW w:w="3060" w:type="dxa"/>
            <w:vAlign w:val="center"/>
          </w:tcPr>
          <w:p>
            <w:pPr>
              <w:pStyle w:val="45"/>
              <w:rPr>
                <w:rFonts w:eastAsia="仿宋" w:cs="Times New Roman"/>
                <w:sz w:val="21"/>
                <w:szCs w:val="21"/>
              </w:rPr>
            </w:pPr>
            <w:r>
              <w:rPr>
                <w:rFonts w:hint="eastAsia" w:eastAsia="仿宋" w:cs="Times New Roman"/>
                <w:sz w:val="21"/>
                <w:szCs w:val="21"/>
              </w:rPr>
              <w:t>观光索道</w:t>
            </w:r>
          </w:p>
        </w:tc>
        <w:tc>
          <w:tcPr>
            <w:tcW w:w="2701" w:type="dxa"/>
            <w:vAlign w:val="center"/>
          </w:tcPr>
          <w:p>
            <w:pPr>
              <w:pStyle w:val="45"/>
              <w:rPr>
                <w:rFonts w:eastAsia="仿宋" w:cs="Times New Roman"/>
                <w:sz w:val="21"/>
                <w:szCs w:val="21"/>
              </w:rPr>
            </w:pPr>
            <w:r>
              <w:rPr>
                <w:rFonts w:hint="eastAsia" w:eastAsia="仿宋" w:cs="Times New Roman"/>
                <w:sz w:val="21"/>
                <w:szCs w:val="21"/>
              </w:rPr>
              <w:t>1.5升/人·日</w:t>
            </w:r>
          </w:p>
        </w:tc>
        <w:tc>
          <w:tcPr>
            <w:tcW w:w="2114" w:type="dxa"/>
            <w:vAlign w:val="center"/>
          </w:tcPr>
          <w:p>
            <w:pPr>
              <w:pStyle w:val="45"/>
              <w:rPr>
                <w:rFonts w:eastAsia="仿宋" w:cs="Times New Roman"/>
                <w:sz w:val="21"/>
                <w:szCs w:val="21"/>
              </w:rPr>
            </w:pPr>
            <w:r>
              <w:rPr>
                <w:rFonts w:eastAsia="仿宋" w:cs="Times New Roman"/>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0" w:type="dxa"/>
            <w:vAlign w:val="center"/>
          </w:tcPr>
          <w:p>
            <w:pPr>
              <w:pStyle w:val="45"/>
              <w:rPr>
                <w:rFonts w:eastAsia="仿宋" w:cs="Times New Roman"/>
                <w:sz w:val="21"/>
                <w:szCs w:val="21"/>
              </w:rPr>
            </w:pPr>
            <w:r>
              <w:rPr>
                <w:rFonts w:hint="eastAsia" w:eastAsia="仿宋" w:cs="Times New Roman"/>
                <w:sz w:val="21"/>
                <w:szCs w:val="21"/>
              </w:rPr>
              <w:t>9</w:t>
            </w:r>
          </w:p>
        </w:tc>
        <w:tc>
          <w:tcPr>
            <w:tcW w:w="3060" w:type="dxa"/>
            <w:vAlign w:val="center"/>
          </w:tcPr>
          <w:p>
            <w:pPr>
              <w:pStyle w:val="45"/>
              <w:rPr>
                <w:rFonts w:eastAsia="仿宋" w:cs="Times New Roman"/>
                <w:sz w:val="21"/>
                <w:szCs w:val="21"/>
              </w:rPr>
            </w:pPr>
            <w:r>
              <w:rPr>
                <w:rFonts w:hint="eastAsia" w:eastAsia="仿宋" w:cs="Times New Roman"/>
                <w:sz w:val="21"/>
                <w:szCs w:val="21"/>
              </w:rPr>
              <w:t>消防用水</w:t>
            </w:r>
          </w:p>
        </w:tc>
        <w:tc>
          <w:tcPr>
            <w:tcW w:w="2701" w:type="dxa"/>
            <w:vAlign w:val="center"/>
          </w:tcPr>
          <w:p>
            <w:pPr>
              <w:pStyle w:val="45"/>
              <w:rPr>
                <w:rFonts w:eastAsia="仿宋" w:cs="Times New Roman"/>
                <w:sz w:val="21"/>
                <w:szCs w:val="21"/>
              </w:rPr>
            </w:pPr>
            <w:r>
              <w:rPr>
                <w:rFonts w:hint="eastAsia" w:eastAsia="仿宋" w:cs="Times New Roman"/>
                <w:sz w:val="21"/>
                <w:szCs w:val="21"/>
              </w:rPr>
              <w:t>1.0吨/小时</w:t>
            </w:r>
          </w:p>
        </w:tc>
        <w:tc>
          <w:tcPr>
            <w:tcW w:w="2114" w:type="dxa"/>
            <w:vAlign w:val="center"/>
          </w:tcPr>
          <w:p>
            <w:pPr>
              <w:pStyle w:val="45"/>
              <w:rPr>
                <w:rFonts w:eastAsia="仿宋" w:cs="Times New Roman"/>
                <w:sz w:val="21"/>
                <w:szCs w:val="21"/>
              </w:rPr>
            </w:pPr>
            <w:r>
              <w:rPr>
                <w:rFonts w:eastAsia="仿宋" w:cs="Times New Roman"/>
                <w:sz w:val="21"/>
                <w:szCs w:val="21"/>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0" w:type="dxa"/>
            <w:vAlign w:val="center"/>
          </w:tcPr>
          <w:p>
            <w:pPr>
              <w:pStyle w:val="45"/>
              <w:rPr>
                <w:rFonts w:eastAsia="仿宋" w:cs="Times New Roman"/>
                <w:sz w:val="21"/>
                <w:szCs w:val="21"/>
              </w:rPr>
            </w:pPr>
            <w:r>
              <w:rPr>
                <w:rFonts w:hint="eastAsia" w:eastAsia="仿宋" w:cs="Times New Roman"/>
                <w:sz w:val="21"/>
                <w:szCs w:val="21"/>
              </w:rPr>
              <w:t>10</w:t>
            </w:r>
          </w:p>
        </w:tc>
        <w:tc>
          <w:tcPr>
            <w:tcW w:w="3060" w:type="dxa"/>
            <w:vAlign w:val="center"/>
          </w:tcPr>
          <w:p>
            <w:pPr>
              <w:pStyle w:val="45"/>
              <w:rPr>
                <w:rFonts w:eastAsia="仿宋" w:cs="Times New Roman"/>
                <w:sz w:val="21"/>
                <w:szCs w:val="21"/>
              </w:rPr>
            </w:pPr>
            <w:r>
              <w:rPr>
                <w:rFonts w:hint="eastAsia" w:eastAsia="仿宋" w:cs="Times New Roman"/>
                <w:sz w:val="21"/>
                <w:szCs w:val="21"/>
              </w:rPr>
              <w:t>未预见水量</w:t>
            </w:r>
          </w:p>
        </w:tc>
        <w:tc>
          <w:tcPr>
            <w:tcW w:w="2701" w:type="dxa"/>
            <w:vAlign w:val="center"/>
          </w:tcPr>
          <w:p>
            <w:pPr>
              <w:pStyle w:val="45"/>
              <w:rPr>
                <w:rFonts w:eastAsia="仿宋" w:cs="Times New Roman"/>
                <w:sz w:val="21"/>
                <w:szCs w:val="21"/>
              </w:rPr>
            </w:pPr>
            <w:r>
              <w:rPr>
                <w:rFonts w:eastAsia="仿宋" w:cs="Times New Roman"/>
                <w:sz w:val="21"/>
                <w:szCs w:val="21"/>
              </w:rPr>
              <w:t>15%</w:t>
            </w:r>
          </w:p>
        </w:tc>
        <w:tc>
          <w:tcPr>
            <w:tcW w:w="2114" w:type="dxa"/>
            <w:vAlign w:val="center"/>
          </w:tcPr>
          <w:p>
            <w:pPr>
              <w:pStyle w:val="45"/>
              <w:rPr>
                <w:rFonts w:eastAsia="仿宋" w:cs="Times New Roman"/>
                <w:sz w:val="21"/>
                <w:szCs w:val="21"/>
              </w:rPr>
            </w:pPr>
            <w:r>
              <w:rPr>
                <w:rFonts w:eastAsia="仿宋" w:cs="Times New Roman"/>
                <w:sz w:val="21"/>
                <w:szCs w:val="21"/>
              </w:rPr>
              <w:t>49.24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0" w:type="dxa"/>
            <w:vAlign w:val="center"/>
          </w:tcPr>
          <w:p>
            <w:pPr>
              <w:pStyle w:val="45"/>
              <w:rPr>
                <w:rFonts w:eastAsia="仿宋" w:cs="Times New Roman"/>
                <w:sz w:val="21"/>
                <w:szCs w:val="21"/>
              </w:rPr>
            </w:pPr>
            <w:r>
              <w:rPr>
                <w:rFonts w:hint="eastAsia" w:eastAsia="仿宋" w:cs="Times New Roman"/>
                <w:sz w:val="21"/>
                <w:szCs w:val="21"/>
              </w:rPr>
              <w:t>11</w:t>
            </w:r>
          </w:p>
        </w:tc>
        <w:tc>
          <w:tcPr>
            <w:tcW w:w="3060" w:type="dxa"/>
            <w:vAlign w:val="center"/>
          </w:tcPr>
          <w:p>
            <w:pPr>
              <w:pStyle w:val="45"/>
              <w:rPr>
                <w:rFonts w:eastAsia="仿宋" w:cs="Times New Roman"/>
                <w:sz w:val="21"/>
                <w:szCs w:val="21"/>
              </w:rPr>
            </w:pPr>
            <w:r>
              <w:rPr>
                <w:rFonts w:hint="eastAsia" w:eastAsia="仿宋" w:cs="Times New Roman"/>
                <w:sz w:val="21"/>
                <w:szCs w:val="21"/>
              </w:rPr>
              <w:t>合计</w:t>
            </w:r>
          </w:p>
        </w:tc>
        <w:tc>
          <w:tcPr>
            <w:tcW w:w="2701" w:type="dxa"/>
            <w:vAlign w:val="center"/>
          </w:tcPr>
          <w:p>
            <w:pPr>
              <w:pStyle w:val="45"/>
              <w:rPr>
                <w:rFonts w:eastAsia="仿宋" w:cs="Times New Roman"/>
                <w:sz w:val="21"/>
                <w:szCs w:val="21"/>
              </w:rPr>
            </w:pPr>
          </w:p>
        </w:tc>
        <w:tc>
          <w:tcPr>
            <w:tcW w:w="2114" w:type="dxa"/>
            <w:vAlign w:val="center"/>
          </w:tcPr>
          <w:p>
            <w:pPr>
              <w:pStyle w:val="45"/>
              <w:rPr>
                <w:rFonts w:eastAsia="仿宋" w:cs="Times New Roman"/>
                <w:sz w:val="21"/>
                <w:szCs w:val="21"/>
              </w:rPr>
            </w:pPr>
            <w:r>
              <w:rPr>
                <w:rFonts w:eastAsia="仿宋" w:cs="Times New Roman"/>
                <w:sz w:val="21"/>
                <w:szCs w:val="21"/>
              </w:rPr>
              <w:t>328.24</w:t>
            </w:r>
          </w:p>
        </w:tc>
      </w:tr>
    </w:tbl>
    <w:p>
      <w:pPr>
        <w:numPr>
          <w:ilvl w:val="255"/>
          <w:numId w:val="0"/>
        </w:numPr>
        <w:spacing w:before="197" w:beforeLines="50"/>
        <w:ind w:firstLine="561"/>
        <w:rPr>
          <w:rFonts w:cs="Times New Roman"/>
        </w:rPr>
      </w:pPr>
      <w:r>
        <w:rPr>
          <w:rFonts w:hint="eastAsia" w:cs="Times New Roman"/>
        </w:rPr>
        <w:t>（2）给水工程规划</w:t>
      </w:r>
    </w:p>
    <w:p>
      <w:pPr>
        <w:ind w:firstLine="560"/>
        <w:rPr>
          <w:rFonts w:cs="Times New Roman"/>
        </w:rPr>
      </w:pPr>
      <w:r>
        <w:rPr>
          <w:rFonts w:hint="eastAsia" w:cs="Times New Roman"/>
        </w:rPr>
        <w:t>本期规划建设的湿地科普宣教中心、游客服务中心、湿地公园管理处等建筑的生活用水就近从公园现有供水系统取水，供水管道及设施的设置应避开风景质量高的区域，与环境协调。此外，为保障湿地公园周边原住民灌溉用水需要，在湿地公园内大力支撑石门大灌区建设，保障居民灌溉用水安全。</w:t>
      </w:r>
    </w:p>
    <w:p>
      <w:pPr>
        <w:pStyle w:val="6"/>
        <w:numPr>
          <w:ilvl w:val="2"/>
          <w:numId w:val="76"/>
        </w:numPr>
      </w:pPr>
      <w:bookmarkStart w:id="591" w:name="_Toc113925606"/>
      <w:bookmarkStart w:id="592" w:name="_Toc113925858"/>
      <w:r>
        <w:rPr>
          <w:rFonts w:hint="eastAsia"/>
        </w:rPr>
        <w:t>排水规划</w:t>
      </w:r>
      <w:bookmarkEnd w:id="591"/>
      <w:bookmarkEnd w:id="592"/>
    </w:p>
    <w:p>
      <w:pPr>
        <w:ind w:firstLine="560"/>
        <w:rPr>
          <w:rFonts w:cs="Times New Roman"/>
        </w:rPr>
      </w:pPr>
      <w:r>
        <w:rPr>
          <w:rFonts w:hint="eastAsia" w:cs="Times New Roman"/>
        </w:rPr>
        <w:t>湿地公园内的污水主要是生产、生活污水，规划排水体制采用雨、污分流制。</w:t>
      </w:r>
    </w:p>
    <w:p>
      <w:pPr>
        <w:ind w:firstLine="560"/>
        <w:rPr>
          <w:rFonts w:cs="Times New Roman"/>
        </w:rPr>
      </w:pPr>
      <w:r>
        <w:rPr>
          <w:rFonts w:hint="eastAsia" w:cs="Times New Roman"/>
        </w:rPr>
        <w:t>雨水的排放要结合地形，因地制宜，修筑少量明沟、明渠，充分利用原有水沟。受洪水威胁和排水不畅的局部地段，应采取相应加固措施。规划道路跨越冲沟处，需修建桥涵，避免冲毁路面。雨水收集后就近排入自然水系。</w:t>
      </w:r>
    </w:p>
    <w:p>
      <w:pPr>
        <w:ind w:firstLine="560"/>
        <w:rPr>
          <w:rFonts w:cs="Times New Roman"/>
        </w:rPr>
      </w:pPr>
      <w:r>
        <w:rPr>
          <w:rFonts w:hint="eastAsia" w:cs="Times New Roman"/>
        </w:rPr>
        <w:t>本次规划新建建筑均布置排水管线接入周边乡镇集中污水处理厂，管线的走向结合铺设道路确定。排水管道的流量计算应以管道可能承载的最大流量为基础。</w:t>
      </w:r>
    </w:p>
    <w:p>
      <w:pPr>
        <w:pStyle w:val="5"/>
        <w:numPr>
          <w:ilvl w:val="1"/>
          <w:numId w:val="76"/>
        </w:numPr>
        <w:spacing w:before="197"/>
      </w:pPr>
      <w:bookmarkStart w:id="593" w:name="_Toc113925859"/>
      <w:bookmarkStart w:id="594" w:name="_Toc17032"/>
      <w:bookmarkStart w:id="595" w:name="_Toc117114410"/>
      <w:bookmarkStart w:id="596" w:name="_Toc113925607"/>
      <w:bookmarkStart w:id="597" w:name="_Toc21010"/>
      <w:bookmarkStart w:id="598" w:name="_Toc114084680"/>
      <w:r>
        <w:rPr>
          <w:rFonts w:hint="eastAsia"/>
        </w:rPr>
        <w:t>通讯工程规划</w:t>
      </w:r>
      <w:bookmarkEnd w:id="593"/>
      <w:bookmarkEnd w:id="594"/>
      <w:bookmarkEnd w:id="595"/>
      <w:bookmarkEnd w:id="596"/>
      <w:bookmarkEnd w:id="597"/>
      <w:bookmarkEnd w:id="598"/>
    </w:p>
    <w:p>
      <w:pPr>
        <w:pStyle w:val="6"/>
        <w:numPr>
          <w:ilvl w:val="2"/>
          <w:numId w:val="79"/>
        </w:numPr>
      </w:pPr>
      <w:bookmarkStart w:id="599" w:name="_Toc113925860"/>
      <w:bookmarkStart w:id="600" w:name="_Toc113925608"/>
      <w:r>
        <w:rPr>
          <w:rFonts w:hint="eastAsia"/>
        </w:rPr>
        <w:t>通讯现状</w:t>
      </w:r>
      <w:bookmarkEnd w:id="599"/>
      <w:bookmarkEnd w:id="600"/>
    </w:p>
    <w:p>
      <w:pPr>
        <w:widowControl/>
        <w:ind w:firstLine="560"/>
        <w:jc w:val="left"/>
        <w:rPr>
          <w:rFonts w:cs="Times New Roman"/>
        </w:rPr>
      </w:pPr>
      <w:r>
        <w:rPr>
          <w:rFonts w:cs="Times New Roman"/>
          <w:lang w:bidi="ar"/>
        </w:rPr>
        <w:t>通讯运营公司已在湿地公园周边建立基站，形成了比较完善的程</w:t>
      </w:r>
      <w:r>
        <w:rPr>
          <w:rFonts w:hint="eastAsia" w:cs="Times New Roman"/>
          <w:lang w:bidi="ar"/>
        </w:rPr>
        <w:t>控电话、移动电话、移动市话、数据与网络的信息传递系统。湿地公园就近架设缆线接入周边的电信网络即可实现通信。湿地公园周边村镇邮政服务设施齐全，但公园内尚无治安监控系统。</w:t>
      </w:r>
    </w:p>
    <w:p>
      <w:pPr>
        <w:pStyle w:val="6"/>
        <w:numPr>
          <w:ilvl w:val="2"/>
          <w:numId w:val="79"/>
        </w:numPr>
      </w:pPr>
      <w:bookmarkStart w:id="601" w:name="_Toc113925609"/>
      <w:bookmarkStart w:id="602" w:name="_Toc113925861"/>
      <w:r>
        <w:rPr>
          <w:rFonts w:hint="eastAsia"/>
        </w:rPr>
        <w:t>通讯规划</w:t>
      </w:r>
      <w:bookmarkEnd w:id="601"/>
      <w:bookmarkEnd w:id="602"/>
    </w:p>
    <w:p>
      <w:pPr>
        <w:ind w:firstLine="560"/>
        <w:rPr>
          <w:rFonts w:cs="Times New Roman"/>
        </w:rPr>
      </w:pPr>
      <w:r>
        <w:rPr>
          <w:rFonts w:hint="eastAsia" w:cs="Times New Roman"/>
        </w:rPr>
        <w:t xml:space="preserve">（1）电信综合服务设施 </w:t>
      </w:r>
    </w:p>
    <w:p>
      <w:pPr>
        <w:ind w:firstLine="560"/>
        <w:rPr>
          <w:rFonts w:cs="Times New Roman"/>
        </w:rPr>
      </w:pPr>
      <w:r>
        <w:rPr>
          <w:rFonts w:hint="eastAsia" w:cs="Times New Roman"/>
        </w:rPr>
        <w:t xml:space="preserve">湿地公园周边村镇邮政服务设施齐全。湿地公园内管理办公电话按管理处及各管理站的位置布设。湿地公园内所有电讯线路均采用自然地面直埋敷设。管理处电话从石门县城市话网连接；各管理站的电话从附近村镇电话网就近接入。规划在游客服务中心、湿地管理处、管理站等共设10部固定电话。 </w:t>
      </w:r>
    </w:p>
    <w:p>
      <w:pPr>
        <w:ind w:firstLine="560"/>
        <w:rPr>
          <w:rFonts w:cs="Times New Roman"/>
        </w:rPr>
      </w:pPr>
      <w:r>
        <w:rPr>
          <w:rFonts w:hint="eastAsia" w:cs="Times New Roman"/>
        </w:rPr>
        <w:t>（</w:t>
      </w:r>
      <w:r>
        <w:rPr>
          <w:rFonts w:cs="Times New Roman"/>
        </w:rPr>
        <w:t>2</w:t>
      </w:r>
      <w:r>
        <w:rPr>
          <w:rFonts w:hint="eastAsia" w:cs="Times New Roman"/>
        </w:rPr>
        <w:t xml:space="preserve">）视频监控系统 </w:t>
      </w:r>
    </w:p>
    <w:p>
      <w:pPr>
        <w:ind w:firstLine="560"/>
        <w:rPr>
          <w:rFonts w:cs="Times New Roman"/>
        </w:rPr>
      </w:pPr>
      <w:r>
        <w:rPr>
          <w:rFonts w:hint="eastAsia" w:cs="Times New Roman"/>
        </w:rPr>
        <w:t>完善公园安全电子治安监控系统，安装监控摄像头。规划在游客服务中心、湿地管理处、管理站、易迷路的道路交叉口、停车场、水库沿岸及其他潜在安全事故易发的敏感位置，布设视频电子监控点，全方位、全天候掌握各关键部位实况，监控人员进出情况、突发紧急情况、道路交通状况、可疑的人和事、违法行为，对安全状况自动监控、自动识别、自动报警。（详见第6章）</w:t>
      </w:r>
    </w:p>
    <w:p>
      <w:pPr>
        <w:widowControl/>
        <w:ind w:firstLine="560"/>
        <w:jc w:val="left"/>
        <w:rPr>
          <w:rFonts w:eastAsia="宋体" w:cs="Times New Roman"/>
          <w:color w:val="000000"/>
          <w:kern w:val="0"/>
          <w:szCs w:val="28"/>
          <w:lang w:bidi="ar"/>
        </w:rPr>
      </w:pPr>
      <w:r>
        <w:rPr>
          <w:rFonts w:ascii="仿宋" w:hAnsi="仿宋" w:cs="仿宋"/>
          <w:color w:val="000000"/>
          <w:kern w:val="0"/>
          <w:szCs w:val="28"/>
          <w:lang w:bidi="ar"/>
        </w:rPr>
        <w:t>以上规划内容见表</w:t>
      </w:r>
      <w:r>
        <w:rPr>
          <w:rFonts w:hint="eastAsia" w:eastAsia="宋体" w:cs="Times New Roman"/>
          <w:color w:val="000000"/>
          <w:kern w:val="0"/>
          <w:szCs w:val="28"/>
          <w:lang w:bidi="ar"/>
        </w:rPr>
        <w:t>11</w:t>
      </w:r>
      <w:r>
        <w:rPr>
          <w:rFonts w:eastAsia="宋体" w:cs="Times New Roman"/>
          <w:color w:val="000000"/>
          <w:kern w:val="0"/>
          <w:szCs w:val="28"/>
          <w:lang w:bidi="ar"/>
        </w:rPr>
        <w:t>-</w:t>
      </w:r>
      <w:r>
        <w:rPr>
          <w:rFonts w:hint="eastAsia" w:eastAsia="宋体" w:cs="Times New Roman"/>
          <w:color w:val="000000"/>
          <w:kern w:val="0"/>
          <w:szCs w:val="28"/>
          <w:lang w:bidi="ar"/>
        </w:rPr>
        <w:t>3。</w:t>
      </w:r>
    </w:p>
    <w:p>
      <w:pPr>
        <w:pStyle w:val="14"/>
        <w:widowControl/>
        <w:spacing w:before="197" w:after="0" w:afterLines="0"/>
        <w:rPr>
          <w:rStyle w:val="52"/>
          <w:szCs w:val="24"/>
        </w:rPr>
      </w:pPr>
      <w:r>
        <w:rPr>
          <w:rStyle w:val="52"/>
          <w:rFonts w:hint="eastAsia" w:ascii="黑体" w:hAnsi="黑体" w:cs="黑体"/>
          <w:sz w:val="24"/>
          <w:szCs w:val="24"/>
        </w:rPr>
        <w:t>仙阳湖国家湿地公园基础工程规划主要建设项目一览表</w:t>
      </w:r>
    </w:p>
    <w:p>
      <w:pPr>
        <w:pStyle w:val="14"/>
        <w:widowControl/>
        <w:spacing w:before="0" w:beforeLines="0" w:after="0" w:afterLines="0"/>
        <w:jc w:val="both"/>
        <w:rPr>
          <w:rStyle w:val="52"/>
          <w:rFonts w:eastAsia="仿宋" w:cs="Times New Roman"/>
          <w:szCs w:val="21"/>
        </w:rPr>
      </w:pPr>
      <w:r>
        <w:rPr>
          <w:rFonts w:hint="eastAsia" w:ascii="黑体" w:hAnsi="黑体" w:cs="黑体"/>
          <w:szCs w:val="21"/>
        </w:rPr>
        <w:t>表</w:t>
      </w:r>
      <w:r>
        <w:rPr>
          <w:rFonts w:hint="eastAsia" w:eastAsia="仿宋" w:cs="Times New Roman"/>
          <w:szCs w:val="21"/>
        </w:rPr>
        <w:t xml:space="preserve"> </w:t>
      </w:r>
      <w:r>
        <w:rPr>
          <w:rFonts w:eastAsia="仿宋" w:cs="Times New Roman"/>
          <w:szCs w:val="21"/>
        </w:rPr>
        <w:fldChar w:fldCharType="begin"/>
      </w:r>
      <w:r>
        <w:rPr>
          <w:rFonts w:eastAsia="仿宋" w:cs="Times New Roman"/>
          <w:szCs w:val="21"/>
        </w:rPr>
        <w:instrText xml:space="preserve"> </w:instrText>
      </w:r>
      <w:r>
        <w:rPr>
          <w:rFonts w:hint="eastAsia" w:eastAsia="仿宋" w:cs="Times New Roman"/>
          <w:szCs w:val="21"/>
        </w:rPr>
        <w:instrText xml:space="preserve">STYLEREF 1 \s</w:instrText>
      </w:r>
      <w:r>
        <w:rPr>
          <w:rFonts w:eastAsia="仿宋" w:cs="Times New Roman"/>
          <w:szCs w:val="21"/>
        </w:rPr>
        <w:instrText xml:space="preserve"> </w:instrText>
      </w:r>
      <w:r>
        <w:rPr>
          <w:rFonts w:eastAsia="仿宋" w:cs="Times New Roman"/>
          <w:szCs w:val="21"/>
        </w:rPr>
        <w:fldChar w:fldCharType="separate"/>
      </w:r>
      <w:r>
        <w:rPr>
          <w:rFonts w:eastAsia="仿宋" w:cs="Times New Roman"/>
          <w:szCs w:val="21"/>
        </w:rPr>
        <w:t>11</w:t>
      </w:r>
      <w:r>
        <w:rPr>
          <w:rFonts w:eastAsia="仿宋" w:cs="Times New Roman"/>
          <w:szCs w:val="21"/>
        </w:rPr>
        <w:fldChar w:fldCharType="end"/>
      </w:r>
      <w:r>
        <w:rPr>
          <w:rFonts w:eastAsia="仿宋" w:cs="Times New Roman"/>
          <w:szCs w:val="21"/>
        </w:rPr>
        <w:t>-</w:t>
      </w:r>
      <w:r>
        <w:rPr>
          <w:rFonts w:eastAsia="仿宋" w:cs="Times New Roman"/>
          <w:szCs w:val="21"/>
        </w:rPr>
        <w:fldChar w:fldCharType="begin"/>
      </w:r>
      <w:r>
        <w:rPr>
          <w:rFonts w:eastAsia="仿宋" w:cs="Times New Roman"/>
          <w:szCs w:val="21"/>
        </w:rPr>
        <w:instrText xml:space="preserve"> </w:instrText>
      </w:r>
      <w:r>
        <w:rPr>
          <w:rFonts w:hint="eastAsia" w:eastAsia="仿宋" w:cs="Times New Roman"/>
          <w:szCs w:val="21"/>
        </w:rPr>
        <w:instrText xml:space="preserve">SEQ 表 \* ARABIC \s 1</w:instrText>
      </w:r>
      <w:r>
        <w:rPr>
          <w:rFonts w:eastAsia="仿宋" w:cs="Times New Roman"/>
          <w:szCs w:val="21"/>
        </w:rPr>
        <w:instrText xml:space="preserve"> </w:instrText>
      </w:r>
      <w:r>
        <w:rPr>
          <w:rFonts w:eastAsia="仿宋" w:cs="Times New Roman"/>
          <w:szCs w:val="21"/>
        </w:rPr>
        <w:fldChar w:fldCharType="separate"/>
      </w:r>
      <w:r>
        <w:rPr>
          <w:rFonts w:eastAsia="仿宋" w:cs="Times New Roman"/>
          <w:szCs w:val="21"/>
        </w:rPr>
        <w:t>3</w:t>
      </w:r>
      <w:r>
        <w:rPr>
          <w:rFonts w:eastAsia="仿宋" w:cs="Times New Roman"/>
          <w:szCs w:val="21"/>
        </w:rPr>
        <w:fldChar w:fldCharType="end"/>
      </w:r>
    </w:p>
    <w:tbl>
      <w:tblPr>
        <w:tblStyle w:val="33"/>
        <w:tblW w:w="8780" w:type="dxa"/>
        <w:tblInd w:w="1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0"/>
        <w:gridCol w:w="1322"/>
        <w:gridCol w:w="1748"/>
        <w:gridCol w:w="950"/>
        <w:gridCol w:w="840"/>
        <w:gridCol w:w="1690"/>
        <w:gridCol w:w="800"/>
        <w:gridCol w:w="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640" w:type="dxa"/>
            <w:vMerge w:val="restart"/>
            <w:vAlign w:val="center"/>
          </w:tcPr>
          <w:p>
            <w:pPr>
              <w:pStyle w:val="44"/>
              <w:rPr>
                <w:rFonts w:eastAsia="仿宋" w:cs="Times New Roman"/>
                <w:szCs w:val="21"/>
              </w:rPr>
            </w:pPr>
            <w:r>
              <w:rPr>
                <w:rFonts w:hint="eastAsia" w:eastAsia="仿宋" w:cs="Times New Roman"/>
                <w:szCs w:val="21"/>
              </w:rPr>
              <w:t>序号</w:t>
            </w:r>
          </w:p>
        </w:tc>
        <w:tc>
          <w:tcPr>
            <w:tcW w:w="3070" w:type="dxa"/>
            <w:gridSpan w:val="2"/>
            <w:vMerge w:val="restart"/>
            <w:vAlign w:val="center"/>
          </w:tcPr>
          <w:p>
            <w:pPr>
              <w:pStyle w:val="44"/>
              <w:rPr>
                <w:rFonts w:eastAsia="仿宋" w:cs="Times New Roman"/>
                <w:szCs w:val="21"/>
              </w:rPr>
            </w:pPr>
            <w:r>
              <w:rPr>
                <w:rFonts w:hint="eastAsia" w:eastAsia="仿宋" w:cs="Times New Roman"/>
                <w:szCs w:val="21"/>
              </w:rPr>
              <w:t>建设内容</w:t>
            </w:r>
          </w:p>
        </w:tc>
        <w:tc>
          <w:tcPr>
            <w:tcW w:w="1790" w:type="dxa"/>
            <w:gridSpan w:val="2"/>
            <w:vAlign w:val="center"/>
          </w:tcPr>
          <w:p>
            <w:pPr>
              <w:pStyle w:val="44"/>
              <w:rPr>
                <w:rFonts w:eastAsia="仿宋" w:cs="Times New Roman"/>
                <w:szCs w:val="21"/>
              </w:rPr>
            </w:pPr>
            <w:r>
              <w:rPr>
                <w:rFonts w:hint="eastAsia" w:eastAsia="仿宋" w:cs="Times New Roman"/>
                <w:szCs w:val="21"/>
              </w:rPr>
              <w:t>建设规模</w:t>
            </w:r>
          </w:p>
        </w:tc>
        <w:tc>
          <w:tcPr>
            <w:tcW w:w="1690" w:type="dxa"/>
            <w:vMerge w:val="restart"/>
            <w:vAlign w:val="center"/>
          </w:tcPr>
          <w:p>
            <w:pPr>
              <w:pStyle w:val="44"/>
              <w:rPr>
                <w:rFonts w:eastAsia="仿宋" w:cs="Times New Roman"/>
                <w:szCs w:val="21"/>
              </w:rPr>
            </w:pPr>
            <w:r>
              <w:rPr>
                <w:rFonts w:hint="eastAsia" w:eastAsia="仿宋" w:cs="Times New Roman"/>
                <w:szCs w:val="21"/>
              </w:rPr>
              <w:t>建设地点</w:t>
            </w:r>
          </w:p>
        </w:tc>
        <w:tc>
          <w:tcPr>
            <w:tcW w:w="1590" w:type="dxa"/>
            <w:gridSpan w:val="2"/>
            <w:vAlign w:val="center"/>
          </w:tcPr>
          <w:p>
            <w:pPr>
              <w:pStyle w:val="44"/>
              <w:rPr>
                <w:rFonts w:eastAsia="仿宋" w:cs="Times New Roman"/>
                <w:szCs w:val="21"/>
              </w:rPr>
            </w:pPr>
            <w:r>
              <w:rPr>
                <w:rFonts w:hint="eastAsia" w:eastAsia="仿宋" w:cs="Times New Roman"/>
                <w:szCs w:val="21"/>
              </w:rPr>
              <w:t>建设期限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640" w:type="dxa"/>
            <w:vMerge w:val="continue"/>
            <w:vAlign w:val="center"/>
          </w:tcPr>
          <w:p>
            <w:pPr>
              <w:pStyle w:val="44"/>
              <w:rPr>
                <w:rFonts w:eastAsia="仿宋" w:cs="Times New Roman"/>
                <w:szCs w:val="21"/>
              </w:rPr>
            </w:pPr>
          </w:p>
        </w:tc>
        <w:tc>
          <w:tcPr>
            <w:tcW w:w="3070" w:type="dxa"/>
            <w:gridSpan w:val="2"/>
            <w:vMerge w:val="continue"/>
            <w:vAlign w:val="center"/>
          </w:tcPr>
          <w:p>
            <w:pPr>
              <w:pStyle w:val="44"/>
              <w:rPr>
                <w:rFonts w:eastAsia="仿宋" w:cs="Times New Roman"/>
                <w:szCs w:val="21"/>
              </w:rPr>
            </w:pPr>
          </w:p>
        </w:tc>
        <w:tc>
          <w:tcPr>
            <w:tcW w:w="950" w:type="dxa"/>
            <w:vAlign w:val="center"/>
          </w:tcPr>
          <w:p>
            <w:pPr>
              <w:pStyle w:val="44"/>
              <w:rPr>
                <w:rFonts w:eastAsia="仿宋" w:cs="Times New Roman"/>
                <w:szCs w:val="21"/>
              </w:rPr>
            </w:pPr>
            <w:r>
              <w:rPr>
                <w:rFonts w:hint="eastAsia" w:eastAsia="仿宋" w:cs="Times New Roman"/>
                <w:szCs w:val="21"/>
              </w:rPr>
              <w:t>单位</w:t>
            </w:r>
          </w:p>
        </w:tc>
        <w:tc>
          <w:tcPr>
            <w:tcW w:w="840" w:type="dxa"/>
            <w:vAlign w:val="center"/>
          </w:tcPr>
          <w:p>
            <w:pPr>
              <w:pStyle w:val="44"/>
              <w:rPr>
                <w:rFonts w:eastAsia="仿宋" w:cs="Times New Roman"/>
                <w:szCs w:val="21"/>
              </w:rPr>
            </w:pPr>
            <w:r>
              <w:rPr>
                <w:rFonts w:hint="eastAsia" w:eastAsia="仿宋" w:cs="Times New Roman"/>
                <w:szCs w:val="21"/>
              </w:rPr>
              <w:t>数量</w:t>
            </w:r>
          </w:p>
        </w:tc>
        <w:tc>
          <w:tcPr>
            <w:tcW w:w="1690" w:type="dxa"/>
            <w:vMerge w:val="continue"/>
            <w:vAlign w:val="center"/>
          </w:tcPr>
          <w:p>
            <w:pPr>
              <w:pStyle w:val="44"/>
              <w:rPr>
                <w:rFonts w:eastAsia="仿宋" w:cs="Times New Roman"/>
                <w:szCs w:val="21"/>
              </w:rPr>
            </w:pPr>
          </w:p>
        </w:tc>
        <w:tc>
          <w:tcPr>
            <w:tcW w:w="800" w:type="dxa"/>
            <w:vAlign w:val="center"/>
          </w:tcPr>
          <w:p>
            <w:pPr>
              <w:pStyle w:val="44"/>
              <w:rPr>
                <w:rFonts w:eastAsia="仿宋" w:cs="Times New Roman"/>
                <w:szCs w:val="21"/>
              </w:rPr>
            </w:pPr>
            <w:r>
              <w:rPr>
                <w:rFonts w:hint="eastAsia" w:eastAsia="仿宋" w:cs="Times New Roman"/>
                <w:szCs w:val="21"/>
              </w:rPr>
              <w:t>前期</w:t>
            </w:r>
          </w:p>
        </w:tc>
        <w:tc>
          <w:tcPr>
            <w:tcW w:w="790" w:type="dxa"/>
            <w:vAlign w:val="center"/>
          </w:tcPr>
          <w:p>
            <w:pPr>
              <w:pStyle w:val="44"/>
              <w:rPr>
                <w:rFonts w:eastAsia="仿宋" w:cs="Times New Roman"/>
                <w:szCs w:val="21"/>
              </w:rPr>
            </w:pPr>
            <w:r>
              <w:rPr>
                <w:rFonts w:hint="eastAsia" w:eastAsia="仿宋" w:cs="Times New Roman"/>
                <w:szCs w:val="21"/>
              </w:rPr>
              <w:t>后期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0" w:type="dxa"/>
            <w:vMerge w:val="restart"/>
            <w:vAlign w:val="center"/>
          </w:tcPr>
          <w:p>
            <w:pPr>
              <w:pStyle w:val="45"/>
              <w:rPr>
                <w:rFonts w:eastAsia="仿宋" w:cs="Times New Roman"/>
                <w:sz w:val="21"/>
                <w:szCs w:val="21"/>
              </w:rPr>
            </w:pPr>
            <w:r>
              <w:rPr>
                <w:rFonts w:eastAsia="仿宋" w:cs="Times New Roman"/>
                <w:sz w:val="21"/>
                <w:szCs w:val="21"/>
              </w:rPr>
              <w:t>1</w:t>
            </w:r>
          </w:p>
        </w:tc>
        <w:tc>
          <w:tcPr>
            <w:tcW w:w="1322" w:type="dxa"/>
            <w:vMerge w:val="restart"/>
            <w:vAlign w:val="center"/>
          </w:tcPr>
          <w:p>
            <w:pPr>
              <w:pStyle w:val="45"/>
              <w:rPr>
                <w:rFonts w:eastAsia="仿宋" w:cs="Times New Roman"/>
                <w:sz w:val="21"/>
                <w:szCs w:val="21"/>
              </w:rPr>
            </w:pPr>
            <w:r>
              <w:rPr>
                <w:rFonts w:hint="eastAsia" w:eastAsia="仿宋" w:cs="Times New Roman"/>
                <w:sz w:val="21"/>
                <w:szCs w:val="21"/>
              </w:rPr>
              <w:t>道路交通规划</w:t>
            </w:r>
          </w:p>
        </w:tc>
        <w:tc>
          <w:tcPr>
            <w:tcW w:w="1748" w:type="dxa"/>
            <w:vAlign w:val="center"/>
          </w:tcPr>
          <w:p>
            <w:pPr>
              <w:pStyle w:val="45"/>
              <w:rPr>
                <w:rFonts w:eastAsia="仿宋" w:cs="Times New Roman"/>
                <w:sz w:val="21"/>
                <w:szCs w:val="21"/>
              </w:rPr>
            </w:pPr>
            <w:r>
              <w:rPr>
                <w:rFonts w:hint="eastAsia" w:eastAsia="仿宋" w:cs="Times New Roman"/>
                <w:sz w:val="21"/>
                <w:szCs w:val="21"/>
              </w:rPr>
              <w:t>巡护车道</w:t>
            </w:r>
          </w:p>
        </w:tc>
        <w:tc>
          <w:tcPr>
            <w:tcW w:w="950" w:type="dxa"/>
            <w:vAlign w:val="center"/>
          </w:tcPr>
          <w:p>
            <w:pPr>
              <w:pStyle w:val="45"/>
              <w:rPr>
                <w:rFonts w:eastAsia="仿宋" w:cs="Times New Roman"/>
                <w:sz w:val="21"/>
                <w:szCs w:val="21"/>
              </w:rPr>
            </w:pPr>
            <w:r>
              <w:rPr>
                <w:rFonts w:hint="eastAsia" w:eastAsia="仿宋" w:cs="Times New Roman"/>
                <w:sz w:val="21"/>
                <w:szCs w:val="21"/>
              </w:rPr>
              <w:t>千米</w:t>
            </w:r>
          </w:p>
        </w:tc>
        <w:tc>
          <w:tcPr>
            <w:tcW w:w="840" w:type="dxa"/>
            <w:vAlign w:val="center"/>
          </w:tcPr>
          <w:p>
            <w:pPr>
              <w:pStyle w:val="45"/>
              <w:rPr>
                <w:rFonts w:eastAsia="仿宋" w:cs="Times New Roman"/>
                <w:sz w:val="21"/>
                <w:szCs w:val="21"/>
              </w:rPr>
            </w:pPr>
            <w:r>
              <w:rPr>
                <w:rFonts w:hint="eastAsia" w:eastAsia="仿宋" w:cs="Times New Roman"/>
                <w:sz w:val="21"/>
                <w:szCs w:val="21"/>
              </w:rPr>
              <w:t>35</w:t>
            </w:r>
          </w:p>
        </w:tc>
        <w:tc>
          <w:tcPr>
            <w:tcW w:w="1690" w:type="dxa"/>
            <w:vAlign w:val="center"/>
          </w:tcPr>
          <w:p>
            <w:pPr>
              <w:pStyle w:val="45"/>
              <w:rPr>
                <w:rFonts w:eastAsia="仿宋" w:cs="Times New Roman"/>
                <w:sz w:val="21"/>
                <w:szCs w:val="21"/>
              </w:rPr>
            </w:pPr>
            <w:r>
              <w:rPr>
                <w:rFonts w:hint="eastAsia" w:eastAsia="仿宋" w:cs="Times New Roman"/>
                <w:sz w:val="21"/>
                <w:szCs w:val="21"/>
              </w:rPr>
              <w:t>天鹅山村至车坊村、月光岛、乐天岛、晒谷堡等</w:t>
            </w:r>
          </w:p>
        </w:tc>
        <w:tc>
          <w:tcPr>
            <w:tcW w:w="800" w:type="dxa"/>
            <w:vAlign w:val="center"/>
          </w:tcPr>
          <w:p>
            <w:pPr>
              <w:pStyle w:val="45"/>
              <w:rPr>
                <w:rFonts w:eastAsia="仿宋" w:cs="Times New Roman"/>
                <w:sz w:val="21"/>
                <w:szCs w:val="21"/>
              </w:rPr>
            </w:pPr>
            <w:r>
              <w:rPr>
                <w:rFonts w:eastAsia="仿宋" w:cs="Times New Roman"/>
                <w:sz w:val="21"/>
                <w:szCs w:val="21"/>
              </w:rPr>
              <w:t>√</w:t>
            </w:r>
          </w:p>
        </w:tc>
        <w:tc>
          <w:tcPr>
            <w:tcW w:w="790" w:type="dxa"/>
            <w:vAlign w:val="center"/>
          </w:tcPr>
          <w:p>
            <w:pPr>
              <w:pStyle w:val="45"/>
              <w:rPr>
                <w:rFonts w:eastAsia="仿宋" w:cs="Times New Roman"/>
                <w:sz w:val="21"/>
                <w:szCs w:val="21"/>
              </w:rPr>
            </w:pPr>
            <w:r>
              <w:rPr>
                <w:rFonts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0" w:type="dxa"/>
            <w:vMerge w:val="continue"/>
            <w:vAlign w:val="center"/>
          </w:tcPr>
          <w:p>
            <w:pPr>
              <w:pStyle w:val="45"/>
              <w:rPr>
                <w:rFonts w:eastAsia="仿宋" w:cs="Times New Roman"/>
                <w:sz w:val="21"/>
                <w:szCs w:val="21"/>
              </w:rPr>
            </w:pPr>
          </w:p>
        </w:tc>
        <w:tc>
          <w:tcPr>
            <w:tcW w:w="1322" w:type="dxa"/>
            <w:vMerge w:val="continue"/>
            <w:vAlign w:val="center"/>
          </w:tcPr>
          <w:p>
            <w:pPr>
              <w:pStyle w:val="45"/>
              <w:rPr>
                <w:rFonts w:eastAsia="仿宋" w:cs="Times New Roman"/>
                <w:sz w:val="21"/>
                <w:szCs w:val="21"/>
              </w:rPr>
            </w:pPr>
          </w:p>
        </w:tc>
        <w:tc>
          <w:tcPr>
            <w:tcW w:w="1748" w:type="dxa"/>
            <w:vAlign w:val="center"/>
          </w:tcPr>
          <w:p>
            <w:pPr>
              <w:pStyle w:val="45"/>
              <w:rPr>
                <w:rFonts w:eastAsia="仿宋" w:cs="Times New Roman"/>
                <w:sz w:val="21"/>
                <w:szCs w:val="21"/>
              </w:rPr>
            </w:pPr>
            <w:r>
              <w:rPr>
                <w:rFonts w:eastAsia="仿宋" w:cs="Times New Roman"/>
                <w:sz w:val="21"/>
                <w:szCs w:val="21"/>
              </w:rPr>
              <w:t>观光游步道</w:t>
            </w:r>
          </w:p>
        </w:tc>
        <w:tc>
          <w:tcPr>
            <w:tcW w:w="950" w:type="dxa"/>
            <w:vAlign w:val="center"/>
          </w:tcPr>
          <w:p>
            <w:pPr>
              <w:pStyle w:val="45"/>
              <w:rPr>
                <w:rFonts w:eastAsia="仿宋" w:cs="Times New Roman"/>
                <w:sz w:val="21"/>
                <w:szCs w:val="21"/>
              </w:rPr>
            </w:pPr>
            <w:r>
              <w:rPr>
                <w:rFonts w:eastAsia="仿宋" w:cs="Times New Roman"/>
                <w:sz w:val="21"/>
                <w:szCs w:val="21"/>
              </w:rPr>
              <w:t>千米</w:t>
            </w:r>
          </w:p>
        </w:tc>
        <w:tc>
          <w:tcPr>
            <w:tcW w:w="840" w:type="dxa"/>
            <w:vAlign w:val="center"/>
          </w:tcPr>
          <w:p>
            <w:pPr>
              <w:pStyle w:val="45"/>
              <w:rPr>
                <w:rFonts w:eastAsia="仿宋" w:cs="Times New Roman"/>
                <w:sz w:val="21"/>
                <w:szCs w:val="21"/>
              </w:rPr>
            </w:pPr>
            <w:r>
              <w:rPr>
                <w:rFonts w:eastAsia="仿宋" w:cs="Times New Roman"/>
                <w:sz w:val="21"/>
                <w:szCs w:val="21"/>
              </w:rPr>
              <w:t>20</w:t>
            </w:r>
            <w:r>
              <w:rPr>
                <w:rFonts w:hint="eastAsia" w:eastAsia="仿宋" w:cs="Times New Roman"/>
                <w:sz w:val="21"/>
                <w:szCs w:val="21"/>
              </w:rPr>
              <w:t>0</w:t>
            </w:r>
          </w:p>
        </w:tc>
        <w:tc>
          <w:tcPr>
            <w:tcW w:w="1690" w:type="dxa"/>
            <w:vAlign w:val="center"/>
          </w:tcPr>
          <w:p>
            <w:pPr>
              <w:pStyle w:val="45"/>
              <w:rPr>
                <w:rFonts w:eastAsia="仿宋" w:cs="Times New Roman"/>
                <w:sz w:val="21"/>
                <w:szCs w:val="21"/>
              </w:rPr>
            </w:pPr>
            <w:r>
              <w:rPr>
                <w:rFonts w:hint="eastAsia" w:eastAsia="仿宋" w:cs="Times New Roman"/>
                <w:sz w:val="21"/>
                <w:szCs w:val="21"/>
              </w:rPr>
              <w:t>沿湿地公园岸线、马鞍岛、月光岛、晒谷堡等</w:t>
            </w:r>
          </w:p>
        </w:tc>
        <w:tc>
          <w:tcPr>
            <w:tcW w:w="800" w:type="dxa"/>
            <w:vAlign w:val="center"/>
          </w:tcPr>
          <w:p>
            <w:pPr>
              <w:pStyle w:val="45"/>
              <w:rPr>
                <w:rFonts w:eastAsia="仿宋" w:cs="Times New Roman"/>
                <w:sz w:val="21"/>
                <w:szCs w:val="21"/>
              </w:rPr>
            </w:pPr>
            <w:r>
              <w:rPr>
                <w:rFonts w:eastAsia="仿宋" w:cs="Times New Roman"/>
                <w:sz w:val="21"/>
                <w:szCs w:val="21"/>
              </w:rPr>
              <w:t>√</w:t>
            </w:r>
          </w:p>
        </w:tc>
        <w:tc>
          <w:tcPr>
            <w:tcW w:w="790" w:type="dxa"/>
            <w:vAlign w:val="center"/>
          </w:tcPr>
          <w:p>
            <w:pPr>
              <w:pStyle w:val="45"/>
              <w:rPr>
                <w:rFonts w:eastAsia="仿宋" w:cs="Times New Roman"/>
                <w:sz w:val="21"/>
                <w:szCs w:val="21"/>
              </w:rPr>
            </w:pPr>
            <w:r>
              <w:rPr>
                <w:rFonts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0" w:type="dxa"/>
            <w:vMerge w:val="continue"/>
            <w:vAlign w:val="center"/>
          </w:tcPr>
          <w:p>
            <w:pPr>
              <w:pStyle w:val="45"/>
              <w:rPr>
                <w:rFonts w:eastAsia="仿宋" w:cs="Times New Roman"/>
                <w:sz w:val="21"/>
                <w:szCs w:val="21"/>
              </w:rPr>
            </w:pPr>
          </w:p>
        </w:tc>
        <w:tc>
          <w:tcPr>
            <w:tcW w:w="1322" w:type="dxa"/>
            <w:vMerge w:val="continue"/>
            <w:vAlign w:val="center"/>
          </w:tcPr>
          <w:p>
            <w:pPr>
              <w:pStyle w:val="45"/>
              <w:rPr>
                <w:rFonts w:eastAsia="仿宋" w:cs="Times New Roman"/>
                <w:sz w:val="21"/>
                <w:szCs w:val="21"/>
              </w:rPr>
            </w:pPr>
          </w:p>
        </w:tc>
        <w:tc>
          <w:tcPr>
            <w:tcW w:w="1748" w:type="dxa"/>
            <w:vAlign w:val="center"/>
          </w:tcPr>
          <w:p>
            <w:pPr>
              <w:pStyle w:val="45"/>
              <w:rPr>
                <w:rFonts w:eastAsia="仿宋" w:cs="Times New Roman"/>
                <w:sz w:val="21"/>
                <w:szCs w:val="21"/>
              </w:rPr>
            </w:pPr>
            <w:r>
              <w:rPr>
                <w:rFonts w:hint="eastAsia" w:eastAsia="仿宋" w:cs="Times New Roman"/>
                <w:sz w:val="21"/>
                <w:szCs w:val="21"/>
              </w:rPr>
              <w:t>停车场</w:t>
            </w:r>
          </w:p>
        </w:tc>
        <w:tc>
          <w:tcPr>
            <w:tcW w:w="950" w:type="dxa"/>
            <w:vAlign w:val="center"/>
          </w:tcPr>
          <w:p>
            <w:pPr>
              <w:pStyle w:val="45"/>
              <w:rPr>
                <w:rFonts w:eastAsia="仿宋" w:cs="Times New Roman"/>
                <w:sz w:val="21"/>
                <w:szCs w:val="21"/>
              </w:rPr>
            </w:pPr>
            <w:r>
              <w:rPr>
                <w:rFonts w:hint="eastAsia" w:eastAsia="仿宋" w:cs="Times New Roman"/>
                <w:sz w:val="21"/>
                <w:szCs w:val="21"/>
              </w:rPr>
              <w:t>平方米</w:t>
            </w:r>
          </w:p>
        </w:tc>
        <w:tc>
          <w:tcPr>
            <w:tcW w:w="840" w:type="dxa"/>
            <w:vAlign w:val="center"/>
          </w:tcPr>
          <w:p>
            <w:pPr>
              <w:pStyle w:val="45"/>
              <w:rPr>
                <w:rFonts w:eastAsia="仿宋" w:cs="Times New Roman"/>
                <w:sz w:val="21"/>
                <w:szCs w:val="21"/>
              </w:rPr>
            </w:pPr>
            <w:r>
              <w:rPr>
                <w:rFonts w:eastAsia="仿宋" w:cs="Times New Roman"/>
                <w:sz w:val="21"/>
                <w:szCs w:val="21"/>
              </w:rPr>
              <w:t>31600</w:t>
            </w:r>
          </w:p>
        </w:tc>
        <w:tc>
          <w:tcPr>
            <w:tcW w:w="1690" w:type="dxa"/>
            <w:vAlign w:val="center"/>
          </w:tcPr>
          <w:p>
            <w:pPr>
              <w:pStyle w:val="45"/>
              <w:rPr>
                <w:rFonts w:eastAsia="仿宋" w:cs="Times New Roman"/>
                <w:sz w:val="21"/>
                <w:szCs w:val="21"/>
              </w:rPr>
            </w:pPr>
            <w:r>
              <w:rPr>
                <w:rFonts w:hint="eastAsia" w:eastAsia="仿宋" w:cs="Times New Roman"/>
                <w:sz w:val="21"/>
                <w:szCs w:val="21"/>
              </w:rPr>
              <w:t>游客服务中心、宣教中心、湿地管理处、晒谷堡、月光岛等</w:t>
            </w:r>
          </w:p>
        </w:tc>
        <w:tc>
          <w:tcPr>
            <w:tcW w:w="800" w:type="dxa"/>
            <w:vAlign w:val="center"/>
          </w:tcPr>
          <w:p>
            <w:pPr>
              <w:pStyle w:val="45"/>
              <w:rPr>
                <w:rFonts w:eastAsia="仿宋" w:cs="Times New Roman"/>
                <w:sz w:val="21"/>
                <w:szCs w:val="21"/>
              </w:rPr>
            </w:pPr>
            <w:r>
              <w:rPr>
                <w:rFonts w:hint="eastAsia" w:eastAsia="仿宋" w:cs="Times New Roman"/>
                <w:sz w:val="21"/>
                <w:szCs w:val="21"/>
              </w:rPr>
              <w:t>√</w:t>
            </w:r>
          </w:p>
        </w:tc>
        <w:tc>
          <w:tcPr>
            <w:tcW w:w="7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0" w:type="dxa"/>
            <w:vMerge w:val="continue"/>
            <w:vAlign w:val="center"/>
          </w:tcPr>
          <w:p>
            <w:pPr>
              <w:pStyle w:val="45"/>
              <w:rPr>
                <w:rFonts w:eastAsia="仿宋" w:cs="Times New Roman"/>
                <w:sz w:val="21"/>
                <w:szCs w:val="21"/>
              </w:rPr>
            </w:pPr>
          </w:p>
        </w:tc>
        <w:tc>
          <w:tcPr>
            <w:tcW w:w="1322" w:type="dxa"/>
            <w:vMerge w:val="continue"/>
            <w:vAlign w:val="center"/>
          </w:tcPr>
          <w:p>
            <w:pPr>
              <w:pStyle w:val="45"/>
              <w:rPr>
                <w:rFonts w:eastAsia="仿宋" w:cs="Times New Roman"/>
                <w:sz w:val="21"/>
                <w:szCs w:val="21"/>
              </w:rPr>
            </w:pPr>
          </w:p>
        </w:tc>
        <w:tc>
          <w:tcPr>
            <w:tcW w:w="1748" w:type="dxa"/>
            <w:vAlign w:val="center"/>
          </w:tcPr>
          <w:p>
            <w:pPr>
              <w:pStyle w:val="45"/>
              <w:rPr>
                <w:rFonts w:eastAsia="仿宋" w:cs="Times New Roman"/>
                <w:sz w:val="21"/>
                <w:szCs w:val="21"/>
              </w:rPr>
            </w:pPr>
            <w:r>
              <w:rPr>
                <w:rFonts w:hint="eastAsia" w:eastAsia="仿宋" w:cs="Times New Roman"/>
                <w:sz w:val="21"/>
                <w:szCs w:val="21"/>
              </w:rPr>
              <w:t>巡护码头</w:t>
            </w:r>
          </w:p>
        </w:tc>
        <w:tc>
          <w:tcPr>
            <w:tcW w:w="950" w:type="dxa"/>
            <w:vAlign w:val="center"/>
          </w:tcPr>
          <w:p>
            <w:pPr>
              <w:pStyle w:val="45"/>
              <w:rPr>
                <w:rFonts w:eastAsia="仿宋" w:cs="Times New Roman"/>
                <w:sz w:val="21"/>
                <w:szCs w:val="21"/>
              </w:rPr>
            </w:pPr>
            <w:r>
              <w:rPr>
                <w:rFonts w:hint="eastAsia" w:eastAsia="仿宋" w:cs="Times New Roman"/>
                <w:sz w:val="21"/>
                <w:szCs w:val="21"/>
              </w:rPr>
              <w:t>座</w:t>
            </w:r>
          </w:p>
        </w:tc>
        <w:tc>
          <w:tcPr>
            <w:tcW w:w="840" w:type="dxa"/>
            <w:vAlign w:val="center"/>
          </w:tcPr>
          <w:p>
            <w:pPr>
              <w:pStyle w:val="45"/>
              <w:rPr>
                <w:rFonts w:eastAsia="仿宋" w:cs="Times New Roman"/>
                <w:sz w:val="21"/>
                <w:szCs w:val="21"/>
              </w:rPr>
            </w:pPr>
            <w:r>
              <w:rPr>
                <w:rFonts w:eastAsia="仿宋" w:cs="Times New Roman"/>
                <w:sz w:val="21"/>
                <w:szCs w:val="21"/>
              </w:rPr>
              <w:t>9</w:t>
            </w:r>
          </w:p>
        </w:tc>
        <w:tc>
          <w:tcPr>
            <w:tcW w:w="1690" w:type="dxa"/>
            <w:vAlign w:val="center"/>
          </w:tcPr>
          <w:p>
            <w:pPr>
              <w:pStyle w:val="45"/>
              <w:rPr>
                <w:rFonts w:eastAsia="仿宋" w:cs="Times New Roman"/>
                <w:sz w:val="21"/>
                <w:szCs w:val="21"/>
              </w:rPr>
            </w:pPr>
            <w:r>
              <w:rPr>
                <w:rFonts w:hint="eastAsia" w:eastAsia="仿宋" w:cs="Times New Roman"/>
                <w:sz w:val="21"/>
                <w:szCs w:val="21"/>
              </w:rPr>
              <w:t>酉家湾、花子洞、陈家院、龙王洞、马鞍岛、乐天岛、彭家堡八户山、万仞洞大桥</w:t>
            </w:r>
          </w:p>
        </w:tc>
        <w:tc>
          <w:tcPr>
            <w:tcW w:w="800" w:type="dxa"/>
            <w:vAlign w:val="center"/>
          </w:tcPr>
          <w:p>
            <w:pPr>
              <w:pStyle w:val="45"/>
              <w:rPr>
                <w:rFonts w:eastAsia="仿宋" w:cs="Times New Roman"/>
                <w:sz w:val="21"/>
                <w:szCs w:val="21"/>
              </w:rPr>
            </w:pPr>
            <w:r>
              <w:rPr>
                <w:rFonts w:hint="eastAsia" w:eastAsia="仿宋" w:cs="Times New Roman"/>
                <w:sz w:val="21"/>
                <w:szCs w:val="21"/>
              </w:rPr>
              <w:t>√</w:t>
            </w:r>
          </w:p>
        </w:tc>
        <w:tc>
          <w:tcPr>
            <w:tcW w:w="7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0" w:type="dxa"/>
            <w:vMerge w:val="continue"/>
            <w:vAlign w:val="center"/>
          </w:tcPr>
          <w:p>
            <w:pPr>
              <w:pStyle w:val="45"/>
              <w:rPr>
                <w:rFonts w:eastAsia="仿宋" w:cs="Times New Roman"/>
                <w:sz w:val="21"/>
                <w:szCs w:val="21"/>
              </w:rPr>
            </w:pPr>
          </w:p>
        </w:tc>
        <w:tc>
          <w:tcPr>
            <w:tcW w:w="1322" w:type="dxa"/>
            <w:vMerge w:val="continue"/>
            <w:vAlign w:val="center"/>
          </w:tcPr>
          <w:p>
            <w:pPr>
              <w:pStyle w:val="45"/>
              <w:rPr>
                <w:rFonts w:eastAsia="仿宋" w:cs="Times New Roman"/>
                <w:sz w:val="21"/>
                <w:szCs w:val="21"/>
              </w:rPr>
            </w:pPr>
          </w:p>
        </w:tc>
        <w:tc>
          <w:tcPr>
            <w:tcW w:w="1748" w:type="dxa"/>
            <w:vAlign w:val="center"/>
          </w:tcPr>
          <w:p>
            <w:pPr>
              <w:pStyle w:val="45"/>
              <w:rPr>
                <w:rFonts w:eastAsia="仿宋" w:cs="Times New Roman"/>
                <w:sz w:val="21"/>
                <w:szCs w:val="21"/>
              </w:rPr>
            </w:pPr>
            <w:r>
              <w:rPr>
                <w:rFonts w:hint="eastAsia" w:eastAsia="仿宋" w:cs="Times New Roman"/>
                <w:sz w:val="21"/>
                <w:szCs w:val="21"/>
              </w:rPr>
              <w:t>巡护越野车</w:t>
            </w:r>
          </w:p>
        </w:tc>
        <w:tc>
          <w:tcPr>
            <w:tcW w:w="950" w:type="dxa"/>
            <w:vAlign w:val="center"/>
          </w:tcPr>
          <w:p>
            <w:pPr>
              <w:pStyle w:val="45"/>
              <w:rPr>
                <w:rFonts w:eastAsia="仿宋" w:cs="Times New Roman"/>
                <w:sz w:val="21"/>
                <w:szCs w:val="21"/>
              </w:rPr>
            </w:pPr>
            <w:r>
              <w:rPr>
                <w:rFonts w:hint="eastAsia" w:eastAsia="仿宋" w:cs="Times New Roman"/>
                <w:sz w:val="21"/>
                <w:szCs w:val="21"/>
              </w:rPr>
              <w:t>辆</w:t>
            </w:r>
          </w:p>
        </w:tc>
        <w:tc>
          <w:tcPr>
            <w:tcW w:w="840" w:type="dxa"/>
            <w:vAlign w:val="center"/>
          </w:tcPr>
          <w:p>
            <w:pPr>
              <w:pStyle w:val="45"/>
              <w:rPr>
                <w:rFonts w:eastAsia="仿宋" w:cs="Times New Roman"/>
                <w:sz w:val="21"/>
                <w:szCs w:val="21"/>
              </w:rPr>
            </w:pPr>
            <w:r>
              <w:rPr>
                <w:rFonts w:hint="eastAsia" w:eastAsia="仿宋" w:cs="Times New Roman"/>
                <w:sz w:val="21"/>
                <w:szCs w:val="21"/>
              </w:rPr>
              <w:t>2</w:t>
            </w:r>
          </w:p>
        </w:tc>
        <w:tc>
          <w:tcPr>
            <w:tcW w:w="1690" w:type="dxa"/>
            <w:vAlign w:val="center"/>
          </w:tcPr>
          <w:p>
            <w:pPr>
              <w:pStyle w:val="45"/>
              <w:rPr>
                <w:rFonts w:eastAsia="仿宋" w:cs="Times New Roman"/>
                <w:sz w:val="21"/>
                <w:szCs w:val="21"/>
              </w:rPr>
            </w:pPr>
          </w:p>
        </w:tc>
        <w:tc>
          <w:tcPr>
            <w:tcW w:w="800" w:type="dxa"/>
            <w:vAlign w:val="center"/>
          </w:tcPr>
          <w:p>
            <w:pPr>
              <w:pStyle w:val="45"/>
              <w:rPr>
                <w:rFonts w:eastAsia="仿宋" w:cs="Times New Roman"/>
                <w:sz w:val="21"/>
                <w:szCs w:val="21"/>
              </w:rPr>
            </w:pPr>
            <w:r>
              <w:rPr>
                <w:rFonts w:hint="eastAsia" w:eastAsia="仿宋" w:cs="Times New Roman"/>
                <w:sz w:val="21"/>
                <w:szCs w:val="21"/>
              </w:rPr>
              <w:t>√</w:t>
            </w:r>
          </w:p>
        </w:tc>
        <w:tc>
          <w:tcPr>
            <w:tcW w:w="790"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0" w:type="dxa"/>
            <w:vMerge w:val="continue"/>
            <w:vAlign w:val="center"/>
          </w:tcPr>
          <w:p>
            <w:pPr>
              <w:pStyle w:val="45"/>
              <w:rPr>
                <w:rFonts w:eastAsia="仿宋" w:cs="Times New Roman"/>
                <w:sz w:val="21"/>
                <w:szCs w:val="21"/>
              </w:rPr>
            </w:pPr>
          </w:p>
        </w:tc>
        <w:tc>
          <w:tcPr>
            <w:tcW w:w="1322" w:type="dxa"/>
            <w:vMerge w:val="continue"/>
            <w:vAlign w:val="center"/>
          </w:tcPr>
          <w:p>
            <w:pPr>
              <w:pStyle w:val="45"/>
              <w:rPr>
                <w:rFonts w:eastAsia="仿宋" w:cs="Times New Roman"/>
                <w:sz w:val="21"/>
                <w:szCs w:val="21"/>
              </w:rPr>
            </w:pPr>
          </w:p>
        </w:tc>
        <w:tc>
          <w:tcPr>
            <w:tcW w:w="1748" w:type="dxa"/>
            <w:vAlign w:val="center"/>
          </w:tcPr>
          <w:p>
            <w:pPr>
              <w:pStyle w:val="45"/>
              <w:rPr>
                <w:rFonts w:eastAsia="仿宋" w:cs="Times New Roman"/>
                <w:sz w:val="21"/>
                <w:szCs w:val="21"/>
              </w:rPr>
            </w:pPr>
            <w:r>
              <w:rPr>
                <w:rFonts w:hint="eastAsia" w:eastAsia="仿宋" w:cs="Times New Roman"/>
                <w:sz w:val="21"/>
                <w:szCs w:val="21"/>
              </w:rPr>
              <w:t>巡护电瓶车</w:t>
            </w:r>
          </w:p>
        </w:tc>
        <w:tc>
          <w:tcPr>
            <w:tcW w:w="950" w:type="dxa"/>
            <w:vAlign w:val="center"/>
          </w:tcPr>
          <w:p>
            <w:pPr>
              <w:pStyle w:val="45"/>
              <w:rPr>
                <w:rFonts w:eastAsia="仿宋" w:cs="Times New Roman"/>
                <w:sz w:val="21"/>
                <w:szCs w:val="21"/>
              </w:rPr>
            </w:pPr>
            <w:r>
              <w:rPr>
                <w:rFonts w:hint="eastAsia" w:eastAsia="仿宋" w:cs="Times New Roman"/>
                <w:sz w:val="21"/>
                <w:szCs w:val="21"/>
              </w:rPr>
              <w:t>辆</w:t>
            </w:r>
          </w:p>
        </w:tc>
        <w:tc>
          <w:tcPr>
            <w:tcW w:w="840" w:type="dxa"/>
            <w:vAlign w:val="center"/>
          </w:tcPr>
          <w:p>
            <w:pPr>
              <w:pStyle w:val="45"/>
              <w:rPr>
                <w:rFonts w:eastAsia="仿宋" w:cs="Times New Roman"/>
                <w:sz w:val="21"/>
                <w:szCs w:val="21"/>
              </w:rPr>
            </w:pPr>
            <w:r>
              <w:rPr>
                <w:rFonts w:hint="eastAsia" w:eastAsia="仿宋" w:cs="Times New Roman"/>
                <w:sz w:val="21"/>
                <w:szCs w:val="21"/>
              </w:rPr>
              <w:t>6</w:t>
            </w:r>
          </w:p>
        </w:tc>
        <w:tc>
          <w:tcPr>
            <w:tcW w:w="1690" w:type="dxa"/>
            <w:vAlign w:val="center"/>
          </w:tcPr>
          <w:p>
            <w:pPr>
              <w:pStyle w:val="45"/>
              <w:rPr>
                <w:rFonts w:eastAsia="仿宋" w:cs="Times New Roman"/>
                <w:sz w:val="21"/>
                <w:szCs w:val="21"/>
              </w:rPr>
            </w:pPr>
          </w:p>
        </w:tc>
        <w:tc>
          <w:tcPr>
            <w:tcW w:w="800" w:type="dxa"/>
            <w:vAlign w:val="center"/>
          </w:tcPr>
          <w:p>
            <w:pPr>
              <w:pStyle w:val="45"/>
              <w:rPr>
                <w:rFonts w:eastAsia="仿宋" w:cs="Times New Roman"/>
                <w:sz w:val="21"/>
                <w:szCs w:val="21"/>
              </w:rPr>
            </w:pPr>
            <w:r>
              <w:rPr>
                <w:rFonts w:hint="eastAsia" w:eastAsia="仿宋" w:cs="Times New Roman"/>
                <w:sz w:val="21"/>
                <w:szCs w:val="21"/>
              </w:rPr>
              <w:t>√</w:t>
            </w:r>
          </w:p>
        </w:tc>
        <w:tc>
          <w:tcPr>
            <w:tcW w:w="790"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0" w:type="dxa"/>
            <w:vMerge w:val="continue"/>
            <w:vAlign w:val="center"/>
          </w:tcPr>
          <w:p>
            <w:pPr>
              <w:pStyle w:val="45"/>
              <w:rPr>
                <w:rFonts w:eastAsia="仿宋" w:cs="Times New Roman"/>
                <w:sz w:val="21"/>
                <w:szCs w:val="21"/>
              </w:rPr>
            </w:pPr>
          </w:p>
        </w:tc>
        <w:tc>
          <w:tcPr>
            <w:tcW w:w="1322" w:type="dxa"/>
            <w:vMerge w:val="continue"/>
            <w:vAlign w:val="center"/>
          </w:tcPr>
          <w:p>
            <w:pPr>
              <w:pStyle w:val="45"/>
              <w:rPr>
                <w:rFonts w:eastAsia="仿宋" w:cs="Times New Roman"/>
                <w:sz w:val="21"/>
                <w:szCs w:val="21"/>
              </w:rPr>
            </w:pPr>
          </w:p>
        </w:tc>
        <w:tc>
          <w:tcPr>
            <w:tcW w:w="1748" w:type="dxa"/>
            <w:vAlign w:val="center"/>
          </w:tcPr>
          <w:p>
            <w:pPr>
              <w:pStyle w:val="45"/>
              <w:rPr>
                <w:rFonts w:eastAsia="仿宋" w:cs="Times New Roman"/>
                <w:sz w:val="21"/>
                <w:szCs w:val="21"/>
              </w:rPr>
            </w:pPr>
            <w:r>
              <w:rPr>
                <w:rFonts w:hint="eastAsia" w:eastAsia="仿宋" w:cs="Times New Roman"/>
                <w:sz w:val="21"/>
                <w:szCs w:val="21"/>
              </w:rPr>
              <w:t>巡护艇</w:t>
            </w:r>
          </w:p>
        </w:tc>
        <w:tc>
          <w:tcPr>
            <w:tcW w:w="950" w:type="dxa"/>
            <w:vAlign w:val="center"/>
          </w:tcPr>
          <w:p>
            <w:pPr>
              <w:pStyle w:val="45"/>
              <w:rPr>
                <w:rFonts w:eastAsia="仿宋" w:cs="Times New Roman"/>
                <w:sz w:val="21"/>
                <w:szCs w:val="21"/>
              </w:rPr>
            </w:pPr>
            <w:r>
              <w:rPr>
                <w:rFonts w:hint="eastAsia" w:eastAsia="仿宋" w:cs="Times New Roman"/>
                <w:sz w:val="21"/>
                <w:szCs w:val="21"/>
              </w:rPr>
              <w:t>艘</w:t>
            </w:r>
          </w:p>
        </w:tc>
        <w:tc>
          <w:tcPr>
            <w:tcW w:w="840" w:type="dxa"/>
            <w:vAlign w:val="center"/>
          </w:tcPr>
          <w:p>
            <w:pPr>
              <w:pStyle w:val="45"/>
              <w:rPr>
                <w:rFonts w:eastAsia="仿宋" w:cs="Times New Roman"/>
                <w:sz w:val="21"/>
                <w:szCs w:val="21"/>
              </w:rPr>
            </w:pPr>
            <w:r>
              <w:rPr>
                <w:rFonts w:hint="eastAsia" w:eastAsia="仿宋" w:cs="Times New Roman"/>
                <w:sz w:val="21"/>
                <w:szCs w:val="21"/>
              </w:rPr>
              <w:t>4</w:t>
            </w:r>
          </w:p>
        </w:tc>
        <w:tc>
          <w:tcPr>
            <w:tcW w:w="1690" w:type="dxa"/>
            <w:vAlign w:val="center"/>
          </w:tcPr>
          <w:p>
            <w:pPr>
              <w:pStyle w:val="45"/>
              <w:rPr>
                <w:rFonts w:eastAsia="仿宋" w:cs="Times New Roman"/>
                <w:sz w:val="21"/>
                <w:szCs w:val="21"/>
              </w:rPr>
            </w:pPr>
          </w:p>
        </w:tc>
        <w:tc>
          <w:tcPr>
            <w:tcW w:w="800" w:type="dxa"/>
            <w:vAlign w:val="center"/>
          </w:tcPr>
          <w:p>
            <w:pPr>
              <w:pStyle w:val="45"/>
              <w:rPr>
                <w:rFonts w:eastAsia="仿宋" w:cs="Times New Roman"/>
                <w:sz w:val="21"/>
                <w:szCs w:val="21"/>
              </w:rPr>
            </w:pPr>
            <w:r>
              <w:rPr>
                <w:rFonts w:hint="eastAsia" w:eastAsia="仿宋" w:cs="Times New Roman"/>
                <w:sz w:val="21"/>
                <w:szCs w:val="21"/>
              </w:rPr>
              <w:t>√</w:t>
            </w:r>
          </w:p>
        </w:tc>
        <w:tc>
          <w:tcPr>
            <w:tcW w:w="790"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0" w:type="dxa"/>
            <w:vMerge w:val="continue"/>
            <w:vAlign w:val="center"/>
          </w:tcPr>
          <w:p>
            <w:pPr>
              <w:pStyle w:val="45"/>
              <w:rPr>
                <w:rFonts w:eastAsia="仿宋" w:cs="Times New Roman"/>
                <w:sz w:val="21"/>
                <w:szCs w:val="21"/>
              </w:rPr>
            </w:pPr>
          </w:p>
        </w:tc>
        <w:tc>
          <w:tcPr>
            <w:tcW w:w="1322" w:type="dxa"/>
            <w:vMerge w:val="continue"/>
            <w:vAlign w:val="center"/>
          </w:tcPr>
          <w:p>
            <w:pPr>
              <w:pStyle w:val="45"/>
              <w:rPr>
                <w:rFonts w:eastAsia="仿宋" w:cs="Times New Roman"/>
                <w:sz w:val="21"/>
                <w:szCs w:val="21"/>
              </w:rPr>
            </w:pPr>
          </w:p>
        </w:tc>
        <w:tc>
          <w:tcPr>
            <w:tcW w:w="1748" w:type="dxa"/>
            <w:vAlign w:val="center"/>
          </w:tcPr>
          <w:p>
            <w:pPr>
              <w:pStyle w:val="45"/>
              <w:rPr>
                <w:rFonts w:eastAsia="仿宋" w:cs="Times New Roman"/>
                <w:sz w:val="21"/>
                <w:szCs w:val="21"/>
              </w:rPr>
            </w:pPr>
            <w:r>
              <w:rPr>
                <w:rFonts w:hint="eastAsia" w:eastAsia="仿宋" w:cs="Times New Roman"/>
                <w:sz w:val="21"/>
                <w:szCs w:val="21"/>
              </w:rPr>
              <w:t>巡护摩托车</w:t>
            </w:r>
          </w:p>
        </w:tc>
        <w:tc>
          <w:tcPr>
            <w:tcW w:w="950" w:type="dxa"/>
            <w:vAlign w:val="center"/>
          </w:tcPr>
          <w:p>
            <w:pPr>
              <w:pStyle w:val="45"/>
              <w:rPr>
                <w:rFonts w:eastAsia="仿宋" w:cs="Times New Roman"/>
                <w:sz w:val="21"/>
                <w:szCs w:val="21"/>
              </w:rPr>
            </w:pPr>
            <w:r>
              <w:rPr>
                <w:rFonts w:hint="eastAsia" w:eastAsia="仿宋" w:cs="Times New Roman"/>
                <w:sz w:val="21"/>
                <w:szCs w:val="21"/>
              </w:rPr>
              <w:t>辆</w:t>
            </w:r>
          </w:p>
        </w:tc>
        <w:tc>
          <w:tcPr>
            <w:tcW w:w="840" w:type="dxa"/>
            <w:vAlign w:val="center"/>
          </w:tcPr>
          <w:p>
            <w:pPr>
              <w:pStyle w:val="45"/>
              <w:rPr>
                <w:rFonts w:eastAsia="仿宋" w:cs="Times New Roman"/>
                <w:sz w:val="21"/>
                <w:szCs w:val="21"/>
              </w:rPr>
            </w:pPr>
            <w:r>
              <w:rPr>
                <w:rFonts w:eastAsia="仿宋" w:cs="Times New Roman"/>
                <w:sz w:val="21"/>
                <w:szCs w:val="21"/>
              </w:rPr>
              <w:t>10</w:t>
            </w:r>
          </w:p>
        </w:tc>
        <w:tc>
          <w:tcPr>
            <w:tcW w:w="1690" w:type="dxa"/>
            <w:vAlign w:val="center"/>
          </w:tcPr>
          <w:p>
            <w:pPr>
              <w:pStyle w:val="45"/>
              <w:rPr>
                <w:rFonts w:eastAsia="仿宋" w:cs="Times New Roman"/>
                <w:sz w:val="21"/>
                <w:szCs w:val="21"/>
              </w:rPr>
            </w:pPr>
          </w:p>
        </w:tc>
        <w:tc>
          <w:tcPr>
            <w:tcW w:w="800" w:type="dxa"/>
            <w:vAlign w:val="center"/>
          </w:tcPr>
          <w:p>
            <w:pPr>
              <w:pStyle w:val="45"/>
              <w:rPr>
                <w:rFonts w:eastAsia="仿宋" w:cs="Times New Roman"/>
                <w:sz w:val="21"/>
                <w:szCs w:val="21"/>
              </w:rPr>
            </w:pPr>
            <w:r>
              <w:rPr>
                <w:rFonts w:hint="eastAsia" w:eastAsia="仿宋" w:cs="Times New Roman"/>
                <w:sz w:val="21"/>
                <w:szCs w:val="21"/>
              </w:rPr>
              <w:t>√</w:t>
            </w:r>
          </w:p>
        </w:tc>
        <w:tc>
          <w:tcPr>
            <w:tcW w:w="790"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0" w:type="dxa"/>
            <w:vAlign w:val="center"/>
          </w:tcPr>
          <w:p>
            <w:pPr>
              <w:pStyle w:val="45"/>
              <w:rPr>
                <w:rFonts w:eastAsia="仿宋" w:cs="Times New Roman"/>
                <w:sz w:val="21"/>
                <w:szCs w:val="21"/>
              </w:rPr>
            </w:pPr>
            <w:r>
              <w:rPr>
                <w:rFonts w:eastAsia="仿宋" w:cs="Times New Roman"/>
                <w:sz w:val="21"/>
                <w:szCs w:val="21"/>
              </w:rPr>
              <w:t>2</w:t>
            </w:r>
          </w:p>
        </w:tc>
        <w:tc>
          <w:tcPr>
            <w:tcW w:w="1322" w:type="dxa"/>
            <w:vAlign w:val="center"/>
          </w:tcPr>
          <w:p>
            <w:pPr>
              <w:pStyle w:val="45"/>
              <w:rPr>
                <w:rFonts w:eastAsia="仿宋" w:cs="Times New Roman"/>
                <w:sz w:val="21"/>
                <w:szCs w:val="21"/>
              </w:rPr>
            </w:pPr>
            <w:r>
              <w:rPr>
                <w:rFonts w:hint="eastAsia" w:eastAsia="仿宋" w:cs="Times New Roman"/>
                <w:sz w:val="21"/>
                <w:szCs w:val="21"/>
              </w:rPr>
              <w:t>电力工程</w:t>
            </w:r>
          </w:p>
        </w:tc>
        <w:tc>
          <w:tcPr>
            <w:tcW w:w="1748" w:type="dxa"/>
            <w:vAlign w:val="center"/>
          </w:tcPr>
          <w:p>
            <w:pPr>
              <w:pStyle w:val="45"/>
              <w:rPr>
                <w:rFonts w:eastAsia="仿宋" w:cs="Times New Roman"/>
                <w:sz w:val="21"/>
                <w:szCs w:val="21"/>
              </w:rPr>
            </w:pPr>
            <w:r>
              <w:rPr>
                <w:rFonts w:hint="eastAsia" w:eastAsia="仿宋" w:cs="Times New Roman"/>
                <w:sz w:val="21"/>
                <w:szCs w:val="21"/>
              </w:rPr>
              <w:t>供电工程</w:t>
            </w:r>
          </w:p>
        </w:tc>
        <w:tc>
          <w:tcPr>
            <w:tcW w:w="950" w:type="dxa"/>
            <w:vAlign w:val="center"/>
          </w:tcPr>
          <w:p>
            <w:pPr>
              <w:pStyle w:val="45"/>
              <w:rPr>
                <w:rFonts w:eastAsia="仿宋" w:cs="Times New Roman"/>
                <w:sz w:val="21"/>
                <w:szCs w:val="21"/>
              </w:rPr>
            </w:pPr>
            <w:r>
              <w:rPr>
                <w:rFonts w:hint="eastAsia" w:eastAsia="仿宋" w:cs="Times New Roman"/>
                <w:sz w:val="21"/>
                <w:szCs w:val="21"/>
              </w:rPr>
              <w:t>项</w:t>
            </w:r>
          </w:p>
        </w:tc>
        <w:tc>
          <w:tcPr>
            <w:tcW w:w="840" w:type="dxa"/>
            <w:vAlign w:val="center"/>
          </w:tcPr>
          <w:p>
            <w:pPr>
              <w:pStyle w:val="45"/>
              <w:rPr>
                <w:rFonts w:eastAsia="仿宋" w:cs="Times New Roman"/>
                <w:sz w:val="21"/>
                <w:szCs w:val="21"/>
              </w:rPr>
            </w:pPr>
            <w:r>
              <w:rPr>
                <w:rFonts w:eastAsia="仿宋" w:cs="Times New Roman"/>
                <w:sz w:val="21"/>
                <w:szCs w:val="21"/>
              </w:rPr>
              <w:t>13</w:t>
            </w:r>
          </w:p>
        </w:tc>
        <w:tc>
          <w:tcPr>
            <w:tcW w:w="1690" w:type="dxa"/>
            <w:vAlign w:val="center"/>
          </w:tcPr>
          <w:p>
            <w:pPr>
              <w:pStyle w:val="45"/>
              <w:rPr>
                <w:rFonts w:eastAsia="仿宋" w:cs="Times New Roman"/>
                <w:sz w:val="21"/>
                <w:szCs w:val="21"/>
              </w:rPr>
            </w:pPr>
          </w:p>
        </w:tc>
        <w:tc>
          <w:tcPr>
            <w:tcW w:w="800" w:type="dxa"/>
            <w:vAlign w:val="center"/>
          </w:tcPr>
          <w:p>
            <w:pPr>
              <w:pStyle w:val="45"/>
              <w:rPr>
                <w:rFonts w:eastAsia="仿宋" w:cs="Times New Roman"/>
                <w:sz w:val="21"/>
                <w:szCs w:val="21"/>
              </w:rPr>
            </w:pPr>
            <w:r>
              <w:rPr>
                <w:rFonts w:hint="eastAsia" w:eastAsia="仿宋" w:cs="Times New Roman"/>
                <w:sz w:val="21"/>
                <w:szCs w:val="21"/>
              </w:rPr>
              <w:t>√</w:t>
            </w:r>
          </w:p>
        </w:tc>
        <w:tc>
          <w:tcPr>
            <w:tcW w:w="7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0" w:type="dxa"/>
            <w:vMerge w:val="restart"/>
            <w:vAlign w:val="center"/>
          </w:tcPr>
          <w:p>
            <w:pPr>
              <w:pStyle w:val="45"/>
              <w:rPr>
                <w:rFonts w:eastAsia="仿宋" w:cs="Times New Roman"/>
                <w:sz w:val="21"/>
                <w:szCs w:val="21"/>
              </w:rPr>
            </w:pPr>
            <w:r>
              <w:rPr>
                <w:rFonts w:eastAsia="仿宋" w:cs="Times New Roman"/>
                <w:sz w:val="21"/>
                <w:szCs w:val="21"/>
              </w:rPr>
              <w:t>3</w:t>
            </w:r>
          </w:p>
        </w:tc>
        <w:tc>
          <w:tcPr>
            <w:tcW w:w="1322" w:type="dxa"/>
            <w:vMerge w:val="restart"/>
            <w:vAlign w:val="center"/>
          </w:tcPr>
          <w:p>
            <w:pPr>
              <w:pStyle w:val="45"/>
              <w:rPr>
                <w:rFonts w:eastAsia="仿宋" w:cs="Times New Roman"/>
                <w:sz w:val="21"/>
                <w:szCs w:val="21"/>
              </w:rPr>
            </w:pPr>
            <w:r>
              <w:rPr>
                <w:rFonts w:hint="eastAsia" w:eastAsia="仿宋" w:cs="Times New Roman"/>
                <w:sz w:val="21"/>
                <w:szCs w:val="21"/>
              </w:rPr>
              <w:t>给排水工程</w:t>
            </w:r>
          </w:p>
        </w:tc>
        <w:tc>
          <w:tcPr>
            <w:tcW w:w="1748" w:type="dxa"/>
            <w:vAlign w:val="center"/>
          </w:tcPr>
          <w:p>
            <w:pPr>
              <w:pStyle w:val="45"/>
              <w:rPr>
                <w:rFonts w:eastAsia="仿宋" w:cs="Times New Roman"/>
                <w:sz w:val="21"/>
                <w:szCs w:val="21"/>
              </w:rPr>
            </w:pPr>
            <w:r>
              <w:rPr>
                <w:rFonts w:hint="eastAsia" w:eastAsia="仿宋" w:cs="Times New Roman"/>
                <w:sz w:val="21"/>
                <w:szCs w:val="21"/>
              </w:rPr>
              <w:t>给水工程</w:t>
            </w:r>
          </w:p>
        </w:tc>
        <w:tc>
          <w:tcPr>
            <w:tcW w:w="950" w:type="dxa"/>
            <w:vAlign w:val="center"/>
          </w:tcPr>
          <w:p>
            <w:pPr>
              <w:pStyle w:val="45"/>
              <w:rPr>
                <w:rFonts w:eastAsia="仿宋" w:cs="Times New Roman"/>
                <w:sz w:val="21"/>
                <w:szCs w:val="21"/>
              </w:rPr>
            </w:pPr>
            <w:r>
              <w:rPr>
                <w:rFonts w:hint="eastAsia" w:eastAsia="仿宋" w:cs="Times New Roman"/>
                <w:sz w:val="21"/>
                <w:szCs w:val="21"/>
              </w:rPr>
              <w:t>项</w:t>
            </w:r>
          </w:p>
        </w:tc>
        <w:tc>
          <w:tcPr>
            <w:tcW w:w="840" w:type="dxa"/>
            <w:vAlign w:val="center"/>
          </w:tcPr>
          <w:p>
            <w:pPr>
              <w:pStyle w:val="45"/>
              <w:rPr>
                <w:rFonts w:eastAsia="仿宋" w:cs="Times New Roman"/>
                <w:sz w:val="21"/>
                <w:szCs w:val="21"/>
              </w:rPr>
            </w:pPr>
            <w:r>
              <w:rPr>
                <w:rFonts w:eastAsia="仿宋" w:cs="Times New Roman"/>
                <w:sz w:val="21"/>
                <w:szCs w:val="21"/>
              </w:rPr>
              <w:t>11</w:t>
            </w:r>
          </w:p>
        </w:tc>
        <w:tc>
          <w:tcPr>
            <w:tcW w:w="1690" w:type="dxa"/>
            <w:vAlign w:val="center"/>
          </w:tcPr>
          <w:p>
            <w:pPr>
              <w:pStyle w:val="45"/>
              <w:rPr>
                <w:rFonts w:eastAsia="仿宋" w:cs="Times New Roman"/>
                <w:sz w:val="21"/>
                <w:szCs w:val="21"/>
              </w:rPr>
            </w:pPr>
          </w:p>
        </w:tc>
        <w:tc>
          <w:tcPr>
            <w:tcW w:w="800" w:type="dxa"/>
            <w:vAlign w:val="center"/>
          </w:tcPr>
          <w:p>
            <w:pPr>
              <w:pStyle w:val="45"/>
              <w:rPr>
                <w:rFonts w:eastAsia="仿宋" w:cs="Times New Roman"/>
                <w:sz w:val="21"/>
                <w:szCs w:val="21"/>
              </w:rPr>
            </w:pPr>
            <w:r>
              <w:rPr>
                <w:rFonts w:hint="eastAsia" w:eastAsia="仿宋" w:cs="Times New Roman"/>
                <w:sz w:val="21"/>
                <w:szCs w:val="21"/>
              </w:rPr>
              <w:t>√</w:t>
            </w:r>
          </w:p>
        </w:tc>
        <w:tc>
          <w:tcPr>
            <w:tcW w:w="7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0" w:type="dxa"/>
            <w:vMerge w:val="continue"/>
            <w:vAlign w:val="center"/>
          </w:tcPr>
          <w:p>
            <w:pPr>
              <w:pStyle w:val="45"/>
              <w:rPr>
                <w:rFonts w:eastAsia="仿宋" w:cs="Times New Roman"/>
                <w:sz w:val="21"/>
                <w:szCs w:val="21"/>
              </w:rPr>
            </w:pPr>
          </w:p>
        </w:tc>
        <w:tc>
          <w:tcPr>
            <w:tcW w:w="1322" w:type="dxa"/>
            <w:vMerge w:val="continue"/>
            <w:vAlign w:val="center"/>
          </w:tcPr>
          <w:p>
            <w:pPr>
              <w:pStyle w:val="45"/>
              <w:rPr>
                <w:rFonts w:eastAsia="仿宋" w:cs="Times New Roman"/>
                <w:sz w:val="21"/>
                <w:szCs w:val="21"/>
              </w:rPr>
            </w:pPr>
          </w:p>
        </w:tc>
        <w:tc>
          <w:tcPr>
            <w:tcW w:w="1748" w:type="dxa"/>
            <w:vAlign w:val="center"/>
          </w:tcPr>
          <w:p>
            <w:pPr>
              <w:pStyle w:val="45"/>
              <w:rPr>
                <w:rFonts w:eastAsia="仿宋" w:cs="Times New Roman"/>
                <w:sz w:val="21"/>
                <w:szCs w:val="21"/>
              </w:rPr>
            </w:pPr>
            <w:r>
              <w:rPr>
                <w:rFonts w:hint="eastAsia" w:eastAsia="仿宋" w:cs="Times New Roman"/>
                <w:sz w:val="21"/>
                <w:szCs w:val="21"/>
              </w:rPr>
              <w:t>排水工程</w:t>
            </w:r>
          </w:p>
        </w:tc>
        <w:tc>
          <w:tcPr>
            <w:tcW w:w="950" w:type="dxa"/>
            <w:vAlign w:val="center"/>
          </w:tcPr>
          <w:p>
            <w:pPr>
              <w:pStyle w:val="45"/>
              <w:rPr>
                <w:rFonts w:eastAsia="仿宋" w:cs="Times New Roman"/>
                <w:sz w:val="21"/>
                <w:szCs w:val="21"/>
              </w:rPr>
            </w:pPr>
            <w:r>
              <w:rPr>
                <w:rFonts w:hint="eastAsia" w:eastAsia="仿宋" w:cs="Times New Roman"/>
                <w:sz w:val="21"/>
                <w:szCs w:val="21"/>
              </w:rPr>
              <w:t>项</w:t>
            </w:r>
          </w:p>
        </w:tc>
        <w:tc>
          <w:tcPr>
            <w:tcW w:w="840" w:type="dxa"/>
            <w:vAlign w:val="center"/>
          </w:tcPr>
          <w:p>
            <w:pPr>
              <w:pStyle w:val="45"/>
              <w:rPr>
                <w:rFonts w:eastAsia="仿宋" w:cs="Times New Roman"/>
                <w:sz w:val="21"/>
                <w:szCs w:val="21"/>
              </w:rPr>
            </w:pPr>
            <w:r>
              <w:rPr>
                <w:rFonts w:eastAsia="仿宋" w:cs="Times New Roman"/>
                <w:sz w:val="21"/>
                <w:szCs w:val="21"/>
              </w:rPr>
              <w:t>11</w:t>
            </w:r>
          </w:p>
        </w:tc>
        <w:tc>
          <w:tcPr>
            <w:tcW w:w="1690" w:type="dxa"/>
            <w:vAlign w:val="center"/>
          </w:tcPr>
          <w:p>
            <w:pPr>
              <w:pStyle w:val="45"/>
              <w:rPr>
                <w:rFonts w:eastAsia="仿宋" w:cs="Times New Roman"/>
                <w:sz w:val="21"/>
                <w:szCs w:val="21"/>
              </w:rPr>
            </w:pPr>
          </w:p>
        </w:tc>
        <w:tc>
          <w:tcPr>
            <w:tcW w:w="800" w:type="dxa"/>
            <w:vAlign w:val="center"/>
          </w:tcPr>
          <w:p>
            <w:pPr>
              <w:pStyle w:val="45"/>
            </w:pPr>
            <w:r>
              <w:rPr>
                <w:rFonts w:hint="eastAsia" w:eastAsia="仿宋" w:cs="Times New Roman"/>
                <w:sz w:val="21"/>
                <w:szCs w:val="21"/>
              </w:rPr>
              <w:t>√</w:t>
            </w:r>
          </w:p>
        </w:tc>
        <w:tc>
          <w:tcPr>
            <w:tcW w:w="790"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0" w:type="dxa"/>
            <w:vAlign w:val="center"/>
          </w:tcPr>
          <w:p>
            <w:pPr>
              <w:pStyle w:val="45"/>
              <w:rPr>
                <w:rFonts w:eastAsia="仿宋" w:cs="Times New Roman"/>
                <w:sz w:val="21"/>
                <w:szCs w:val="21"/>
              </w:rPr>
            </w:pPr>
            <w:r>
              <w:rPr>
                <w:rFonts w:eastAsia="仿宋" w:cs="Times New Roman"/>
                <w:sz w:val="21"/>
                <w:szCs w:val="21"/>
              </w:rPr>
              <w:t>4</w:t>
            </w:r>
          </w:p>
        </w:tc>
        <w:tc>
          <w:tcPr>
            <w:tcW w:w="1322" w:type="dxa"/>
            <w:vAlign w:val="center"/>
          </w:tcPr>
          <w:p>
            <w:pPr>
              <w:pStyle w:val="45"/>
              <w:rPr>
                <w:rFonts w:eastAsia="仿宋" w:cs="Times New Roman"/>
                <w:sz w:val="21"/>
                <w:szCs w:val="21"/>
              </w:rPr>
            </w:pPr>
            <w:r>
              <w:rPr>
                <w:rFonts w:hint="eastAsia" w:eastAsia="仿宋" w:cs="Times New Roman"/>
                <w:sz w:val="21"/>
                <w:szCs w:val="21"/>
              </w:rPr>
              <w:t>通讯工程</w:t>
            </w:r>
          </w:p>
        </w:tc>
        <w:tc>
          <w:tcPr>
            <w:tcW w:w="1748" w:type="dxa"/>
            <w:vAlign w:val="center"/>
          </w:tcPr>
          <w:p>
            <w:pPr>
              <w:pStyle w:val="45"/>
              <w:rPr>
                <w:rFonts w:eastAsia="仿宋" w:cs="Times New Roman"/>
                <w:sz w:val="21"/>
                <w:szCs w:val="21"/>
              </w:rPr>
            </w:pPr>
            <w:r>
              <w:rPr>
                <w:rFonts w:hint="eastAsia" w:eastAsia="仿宋" w:cs="Times New Roman"/>
                <w:sz w:val="21"/>
                <w:szCs w:val="21"/>
              </w:rPr>
              <w:t>固定电话</w:t>
            </w:r>
          </w:p>
        </w:tc>
        <w:tc>
          <w:tcPr>
            <w:tcW w:w="950" w:type="dxa"/>
            <w:vAlign w:val="center"/>
          </w:tcPr>
          <w:p>
            <w:pPr>
              <w:pStyle w:val="45"/>
              <w:rPr>
                <w:rFonts w:eastAsia="仿宋" w:cs="Times New Roman"/>
                <w:sz w:val="21"/>
                <w:szCs w:val="21"/>
              </w:rPr>
            </w:pPr>
            <w:r>
              <w:rPr>
                <w:rFonts w:hint="eastAsia" w:eastAsia="仿宋" w:cs="Times New Roman"/>
                <w:sz w:val="21"/>
                <w:szCs w:val="21"/>
              </w:rPr>
              <w:t>台</w:t>
            </w:r>
          </w:p>
        </w:tc>
        <w:tc>
          <w:tcPr>
            <w:tcW w:w="840" w:type="dxa"/>
            <w:vAlign w:val="center"/>
          </w:tcPr>
          <w:p>
            <w:pPr>
              <w:pStyle w:val="45"/>
              <w:rPr>
                <w:rFonts w:eastAsia="仿宋" w:cs="Times New Roman"/>
                <w:sz w:val="21"/>
                <w:szCs w:val="21"/>
              </w:rPr>
            </w:pPr>
            <w:r>
              <w:rPr>
                <w:rFonts w:hint="eastAsia" w:eastAsia="仿宋" w:cs="Times New Roman"/>
                <w:sz w:val="21"/>
                <w:szCs w:val="21"/>
              </w:rPr>
              <w:t>1</w:t>
            </w:r>
            <w:r>
              <w:rPr>
                <w:rFonts w:eastAsia="仿宋" w:cs="Times New Roman"/>
                <w:sz w:val="21"/>
                <w:szCs w:val="21"/>
              </w:rPr>
              <w:t>1</w:t>
            </w:r>
          </w:p>
        </w:tc>
        <w:tc>
          <w:tcPr>
            <w:tcW w:w="1690" w:type="dxa"/>
            <w:vAlign w:val="center"/>
          </w:tcPr>
          <w:p>
            <w:pPr>
              <w:pStyle w:val="45"/>
              <w:rPr>
                <w:rFonts w:eastAsia="仿宋" w:cs="Times New Roman"/>
                <w:sz w:val="21"/>
                <w:szCs w:val="21"/>
              </w:rPr>
            </w:pPr>
          </w:p>
        </w:tc>
        <w:tc>
          <w:tcPr>
            <w:tcW w:w="800" w:type="dxa"/>
            <w:vAlign w:val="center"/>
          </w:tcPr>
          <w:p>
            <w:pPr>
              <w:pStyle w:val="45"/>
              <w:rPr>
                <w:rFonts w:eastAsia="仿宋" w:cs="Times New Roman"/>
                <w:sz w:val="21"/>
                <w:szCs w:val="21"/>
              </w:rPr>
            </w:pPr>
            <w:r>
              <w:rPr>
                <w:rFonts w:hint="eastAsia" w:eastAsia="仿宋" w:cs="Times New Roman"/>
                <w:sz w:val="21"/>
                <w:szCs w:val="21"/>
              </w:rPr>
              <w:t>√</w:t>
            </w:r>
          </w:p>
        </w:tc>
        <w:tc>
          <w:tcPr>
            <w:tcW w:w="790" w:type="dxa"/>
            <w:vAlign w:val="center"/>
          </w:tcPr>
          <w:p>
            <w:pPr>
              <w:pStyle w:val="45"/>
              <w:rPr>
                <w:rFonts w:eastAsia="仿宋" w:cs="Times New Roman"/>
                <w:sz w:val="21"/>
                <w:szCs w:val="21"/>
              </w:rPr>
            </w:pPr>
            <w:r>
              <w:rPr>
                <w:rFonts w:hint="eastAsia" w:eastAsia="仿宋" w:cs="Times New Roman"/>
                <w:sz w:val="21"/>
                <w:szCs w:val="21"/>
              </w:rPr>
              <w:t>√</w:t>
            </w:r>
          </w:p>
        </w:tc>
      </w:tr>
    </w:tbl>
    <w:p>
      <w:pPr>
        <w:ind w:firstLine="560"/>
      </w:pPr>
    </w:p>
    <w:p>
      <w:pPr>
        <w:pStyle w:val="4"/>
        <w:numPr>
          <w:ilvl w:val="0"/>
          <w:numId w:val="79"/>
        </w:numPr>
        <w:spacing w:after="395"/>
        <w:ind w:left="0" w:firstLine="0"/>
      </w:pPr>
      <w:bookmarkStart w:id="603" w:name="_Toc16209"/>
      <w:bookmarkStart w:id="604" w:name="_Toc113925862"/>
      <w:bookmarkStart w:id="605" w:name="_Toc114084681"/>
      <w:bookmarkStart w:id="606" w:name="_Toc17717"/>
      <w:bookmarkStart w:id="607" w:name="_Toc117114411"/>
      <w:bookmarkStart w:id="608" w:name="_Toc113925610"/>
      <w:r>
        <w:rPr>
          <w:rFonts w:hint="eastAsia"/>
        </w:rPr>
        <w:t>管理规划</w:t>
      </w:r>
      <w:bookmarkEnd w:id="603"/>
      <w:bookmarkEnd w:id="604"/>
      <w:bookmarkEnd w:id="605"/>
      <w:bookmarkEnd w:id="606"/>
      <w:bookmarkEnd w:id="607"/>
      <w:bookmarkEnd w:id="608"/>
    </w:p>
    <w:p>
      <w:pPr>
        <w:pStyle w:val="5"/>
        <w:numPr>
          <w:ilvl w:val="1"/>
          <w:numId w:val="79"/>
        </w:numPr>
        <w:spacing w:before="197"/>
      </w:pPr>
      <w:bookmarkStart w:id="609" w:name="_Toc114084682"/>
      <w:bookmarkStart w:id="610" w:name="_Toc117114412"/>
      <w:bookmarkStart w:id="611" w:name="_Toc29949"/>
      <w:bookmarkStart w:id="612" w:name="_Toc113925863"/>
      <w:bookmarkStart w:id="613" w:name="_Toc113925611"/>
      <w:bookmarkStart w:id="614" w:name="_Toc32752"/>
      <w:r>
        <w:rPr>
          <w:rFonts w:hint="eastAsia"/>
        </w:rPr>
        <w:t>管理机构规划</w:t>
      </w:r>
      <w:bookmarkEnd w:id="609"/>
      <w:bookmarkEnd w:id="610"/>
      <w:bookmarkEnd w:id="611"/>
      <w:bookmarkEnd w:id="612"/>
      <w:bookmarkEnd w:id="613"/>
      <w:bookmarkEnd w:id="614"/>
    </w:p>
    <w:p>
      <w:pPr>
        <w:pStyle w:val="21"/>
        <w:ind w:right="0" w:firstLine="560"/>
        <w:rPr>
          <w:rFonts w:cs="Times New Roman"/>
        </w:rPr>
      </w:pPr>
      <w:r>
        <w:rPr>
          <w:rFonts w:hint="eastAsia" w:cs="Times New Roman"/>
        </w:rPr>
        <w:t>湿地公园管理机构规划在试点建设期已经规划，由于政策等多方面原因，机构设置没有达到原规划建设的要求，与目前国家关于湿地公园机构的要求也不相符，因此，本期作为规划项目。</w:t>
      </w:r>
    </w:p>
    <w:p>
      <w:pPr>
        <w:pStyle w:val="6"/>
        <w:numPr>
          <w:ilvl w:val="2"/>
          <w:numId w:val="79"/>
        </w:numPr>
      </w:pPr>
      <w:bookmarkStart w:id="615" w:name="_Toc113925612"/>
      <w:bookmarkStart w:id="616" w:name="_Toc113925864"/>
      <w:r>
        <w:rPr>
          <w:rFonts w:hint="eastAsia"/>
        </w:rPr>
        <w:t>规划原则</w:t>
      </w:r>
      <w:bookmarkEnd w:id="615"/>
      <w:bookmarkEnd w:id="616"/>
    </w:p>
    <w:p>
      <w:pPr>
        <w:ind w:firstLine="560"/>
        <w:rPr>
          <w:rFonts w:cs="Times New Roman"/>
        </w:rPr>
      </w:pPr>
      <w:r>
        <w:rPr>
          <w:rFonts w:hint="eastAsia" w:cs="Times New Roman"/>
        </w:rPr>
        <w:t xml:space="preserve">（1）坚持职能优先、科学合理与完整统一的原则 </w:t>
      </w:r>
    </w:p>
    <w:p>
      <w:pPr>
        <w:ind w:firstLine="560"/>
        <w:rPr>
          <w:rFonts w:ascii="仿宋" w:hAnsi="仿宋" w:cs="仿宋"/>
        </w:rPr>
      </w:pPr>
      <w:r>
        <w:rPr>
          <w:rFonts w:hint="eastAsia" w:cs="Times New Roman"/>
        </w:rPr>
        <w:t>湿地公园的首要任务是保护湿地资源、野生动植物等自然资源，同时开展湿地宣传教育、科研监测，并对湿地资源采取合理地利用。湿地公园的机构设置与人员编制应遵循职能优先、科学合理、完整统一的原则，从而有效保护湿地生态系统，实现湿地公园</w:t>
      </w:r>
      <w:r>
        <w:rPr>
          <w:rFonts w:hint="eastAsia" w:ascii="仿宋" w:hAnsi="仿宋" w:cs="仿宋"/>
        </w:rPr>
        <w:t>的“全面保护、科学修复、合理利用、持续发展”。</w:t>
      </w:r>
    </w:p>
    <w:p>
      <w:pPr>
        <w:ind w:firstLine="560"/>
        <w:rPr>
          <w:rFonts w:cs="Times New Roman"/>
        </w:rPr>
      </w:pPr>
      <w:r>
        <w:rPr>
          <w:rFonts w:hint="eastAsia" w:cs="Times New Roman"/>
        </w:rPr>
        <w:t>（</w:t>
      </w:r>
      <w:r>
        <w:rPr>
          <w:rFonts w:cs="Times New Roman"/>
        </w:rPr>
        <w:t>2</w:t>
      </w:r>
      <w:r>
        <w:rPr>
          <w:rFonts w:hint="eastAsia" w:cs="Times New Roman"/>
        </w:rPr>
        <w:t>）严格遵守国家、地方相关法律法规和政策的原则</w:t>
      </w:r>
    </w:p>
    <w:p>
      <w:pPr>
        <w:ind w:firstLine="560"/>
        <w:rPr>
          <w:rFonts w:cs="Times New Roman"/>
        </w:rPr>
      </w:pPr>
      <w:r>
        <w:rPr>
          <w:rFonts w:hint="eastAsia" w:cs="Times New Roman"/>
        </w:rPr>
        <w:t xml:space="preserve">严格执行国家有关湿地保护与生态环境建设的相关法律法规和政策，建立相应管理机构。管理机构对湿地公园范围有管理权、经营权、监督权和执法权等权力，机构设置必须合法，才能有利于国家方针、政策、法律法规的贯彻执行，有利于湿地公园的有效管理和建设目标顺利实现。 </w:t>
      </w:r>
    </w:p>
    <w:p>
      <w:pPr>
        <w:ind w:firstLine="560"/>
        <w:rPr>
          <w:rFonts w:cs="Times New Roman"/>
        </w:rPr>
      </w:pPr>
      <w:r>
        <w:rPr>
          <w:rFonts w:hint="eastAsia" w:cs="Times New Roman"/>
        </w:rPr>
        <w:t>（</w:t>
      </w:r>
      <w:r>
        <w:rPr>
          <w:rFonts w:cs="Times New Roman"/>
        </w:rPr>
        <w:t>3</w:t>
      </w:r>
      <w:r>
        <w:rPr>
          <w:rFonts w:hint="eastAsia" w:cs="Times New Roman"/>
        </w:rPr>
        <w:t xml:space="preserve">）坚持精简、高效、稳定、实用的原则 </w:t>
      </w:r>
    </w:p>
    <w:p>
      <w:pPr>
        <w:ind w:firstLine="560"/>
        <w:rPr>
          <w:rFonts w:cs="Times New Roman"/>
        </w:rPr>
      </w:pPr>
      <w:r>
        <w:rPr>
          <w:rFonts w:hint="eastAsia" w:cs="Times New Roman"/>
        </w:rPr>
        <w:t>湿地公园保护和管理任务重，建设项目多、范围广，涉及的湿地资源保护、野生动植物保护、湿地恢复、基础设施建设等，因此，管理人员要求精简、高效、稳定、实用，才能有利于湿地公园的建设和管理，有利于建设项目实施，最终实现公园建设的目标。</w:t>
      </w:r>
    </w:p>
    <w:p>
      <w:pPr>
        <w:pStyle w:val="6"/>
        <w:numPr>
          <w:ilvl w:val="2"/>
          <w:numId w:val="79"/>
        </w:numPr>
      </w:pPr>
      <w:bookmarkStart w:id="617" w:name="_Toc113925865"/>
      <w:bookmarkStart w:id="618" w:name="_Toc113925613"/>
      <w:r>
        <w:rPr>
          <w:rFonts w:hint="eastAsia"/>
        </w:rPr>
        <w:t>机构设置</w:t>
      </w:r>
      <w:bookmarkEnd w:id="617"/>
      <w:bookmarkEnd w:id="618"/>
    </w:p>
    <w:p>
      <w:pPr>
        <w:ind w:firstLine="560"/>
        <w:rPr>
          <w:rFonts w:ascii="宋体" w:hAnsi="宋体"/>
          <w:color w:val="000000"/>
          <w:szCs w:val="28"/>
        </w:rPr>
      </w:pPr>
      <w:r>
        <w:rPr>
          <w:rFonts w:hint="eastAsia" w:ascii="宋体" w:hAnsi="宋体"/>
          <w:color w:val="000000"/>
          <w:szCs w:val="28"/>
        </w:rPr>
        <w:t>按照政府统一领导，湿地公园管理，部门单位分工协作的管理模式，石门县人民政府成立“湖南石门仙阳湖国家湿地公园管理委员会”，由石门县人民政府主管林业的副县长任主任，以林业、发改委、自然资源、水利、旅游、环保、农业、建设、电力等相关部门为成员，指导整个湿地公园的保护管理工作。湖南石门仙阳湖国家湿地公园管理处负责整个湿地公园的保护管理工作，建议整合区域相关资源，将白云山国有林场一并纳入管理。管理处行政上隶属于石门县人民政府，业务上由石门县林业局指导，建议调整为参照公务员法管理单位，具有行政执法权，行政级别参考国家级自然保护区，</w:t>
      </w:r>
      <w:r>
        <w:rPr>
          <w:rFonts w:hint="eastAsia" w:ascii="宋体" w:hAnsi="宋体"/>
          <w:b/>
          <w:color w:val="000000"/>
          <w:szCs w:val="28"/>
        </w:rPr>
        <w:t>确定为副处级单位。</w:t>
      </w:r>
    </w:p>
    <w:p>
      <w:pPr>
        <w:spacing w:before="197" w:beforeLines="50" w:line="240" w:lineRule="auto"/>
        <w:ind w:firstLine="0" w:firstLineChars="0"/>
        <w:jc w:val="center"/>
        <w:rPr>
          <w:rFonts w:ascii="黑体" w:hAnsi="黑体" w:eastAsia="黑体"/>
          <w:color w:val="000000"/>
          <w:sz w:val="24"/>
        </w:rPr>
      </w:pPr>
      <w:r>
        <w:rPr>
          <w:rFonts w:hint="eastAsia" w:ascii="黑体" w:hAnsi="黑体" w:eastAsia="黑体"/>
          <w:color w:val="000000"/>
          <w:sz w:val="24"/>
        </w:rPr>
        <w:t>国家林业和草原局关于国家湿地公园验收的新标准中关于机构的要求</w:t>
      </w:r>
    </w:p>
    <w:p>
      <w:pPr>
        <w:spacing w:line="240" w:lineRule="auto"/>
        <w:ind w:firstLine="0" w:firstLineChars="0"/>
        <w:rPr>
          <w:rFonts w:ascii="黑体" w:hAnsi="黑体" w:eastAsia="黑体"/>
          <w:color w:val="000000"/>
          <w:sz w:val="21"/>
          <w:szCs w:val="21"/>
        </w:rPr>
      </w:pPr>
      <w:r>
        <w:rPr>
          <w:rFonts w:hint="eastAsia" w:ascii="黑体" w:hAnsi="黑体" w:eastAsia="黑体" w:cs="黑体"/>
          <w:color w:val="000000"/>
          <w:sz w:val="21"/>
          <w:szCs w:val="21"/>
        </w:rPr>
        <w:t>表</w:t>
      </w:r>
      <w:r>
        <w:rPr>
          <w:rFonts w:eastAsia="黑体" w:cs="Times New Roman"/>
          <w:color w:val="000000"/>
          <w:sz w:val="21"/>
          <w:szCs w:val="21"/>
        </w:rPr>
        <w:t xml:space="preserve">12-1 </w:t>
      </w:r>
      <w:r>
        <w:rPr>
          <w:rFonts w:hint="eastAsia" w:ascii="黑体" w:hAnsi="黑体" w:eastAsia="黑体"/>
          <w:color w:val="000000"/>
          <w:sz w:val="21"/>
          <w:szCs w:val="21"/>
        </w:rPr>
        <w:t xml:space="preserve"> </w:t>
      </w:r>
    </w:p>
    <w:tbl>
      <w:tblPr>
        <w:tblStyle w:val="3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64"/>
        <w:gridCol w:w="2751"/>
        <w:gridCol w:w="3069"/>
        <w:gridCol w:w="243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4" w:type="pct"/>
            <w:vAlign w:val="center"/>
          </w:tcPr>
          <w:p>
            <w:pPr>
              <w:spacing w:line="240" w:lineRule="auto"/>
              <w:ind w:firstLine="0" w:firstLineChars="0"/>
              <w:rPr>
                <w:rFonts w:cs="Times New Roman"/>
                <w:color w:val="000000"/>
                <w:kern w:val="0"/>
                <w:sz w:val="21"/>
                <w:szCs w:val="21"/>
              </w:rPr>
            </w:pPr>
          </w:p>
        </w:tc>
        <w:tc>
          <w:tcPr>
            <w:tcW w:w="1509" w:type="pct"/>
            <w:vAlign w:val="center"/>
          </w:tcPr>
          <w:p>
            <w:pPr>
              <w:spacing w:line="240" w:lineRule="auto"/>
              <w:ind w:firstLine="0" w:firstLineChars="0"/>
              <w:jc w:val="center"/>
              <w:rPr>
                <w:rFonts w:cs="Times New Roman"/>
                <w:color w:val="000000"/>
                <w:sz w:val="21"/>
                <w:szCs w:val="21"/>
              </w:rPr>
            </w:pPr>
            <w:r>
              <w:rPr>
                <w:rFonts w:cs="Times New Roman"/>
                <w:color w:val="000000"/>
                <w:sz w:val="21"/>
                <w:szCs w:val="21"/>
              </w:rPr>
              <w:t>优良（≥80分）</w:t>
            </w:r>
          </w:p>
        </w:tc>
        <w:tc>
          <w:tcPr>
            <w:tcW w:w="1683" w:type="pct"/>
            <w:vAlign w:val="center"/>
          </w:tcPr>
          <w:p>
            <w:pPr>
              <w:spacing w:line="240" w:lineRule="auto"/>
              <w:ind w:firstLine="0" w:firstLineChars="0"/>
              <w:jc w:val="center"/>
              <w:rPr>
                <w:rFonts w:cs="Times New Roman"/>
                <w:color w:val="000000"/>
                <w:sz w:val="21"/>
                <w:szCs w:val="21"/>
              </w:rPr>
            </w:pPr>
            <w:r>
              <w:rPr>
                <w:rFonts w:cs="Times New Roman"/>
                <w:color w:val="000000"/>
                <w:sz w:val="21"/>
                <w:szCs w:val="21"/>
              </w:rPr>
              <w:t>中（&lt;80分，≤60分）</w:t>
            </w:r>
          </w:p>
        </w:tc>
        <w:tc>
          <w:tcPr>
            <w:tcW w:w="1334" w:type="pct"/>
            <w:vAlign w:val="center"/>
          </w:tcPr>
          <w:p>
            <w:pPr>
              <w:spacing w:line="240" w:lineRule="auto"/>
              <w:ind w:firstLine="0" w:firstLineChars="0"/>
              <w:jc w:val="center"/>
              <w:rPr>
                <w:rFonts w:cs="Times New Roman"/>
                <w:color w:val="000000"/>
                <w:sz w:val="21"/>
                <w:szCs w:val="21"/>
              </w:rPr>
            </w:pPr>
            <w:r>
              <w:rPr>
                <w:rFonts w:cs="Times New Roman"/>
                <w:color w:val="000000"/>
                <w:sz w:val="21"/>
                <w:szCs w:val="21"/>
              </w:rPr>
              <w:t>差（&lt;60分）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68" w:hRule="atLeast"/>
        </w:trPr>
        <w:tc>
          <w:tcPr>
            <w:tcW w:w="474" w:type="pct"/>
            <w:vAlign w:val="center"/>
          </w:tcPr>
          <w:p>
            <w:pPr>
              <w:spacing w:line="240" w:lineRule="auto"/>
              <w:ind w:firstLine="0" w:firstLineChars="0"/>
              <w:rPr>
                <w:rFonts w:cs="Times New Roman"/>
                <w:color w:val="000000"/>
                <w:kern w:val="0"/>
                <w:sz w:val="21"/>
                <w:szCs w:val="21"/>
              </w:rPr>
            </w:pPr>
            <w:r>
              <w:rPr>
                <w:rFonts w:cs="Times New Roman"/>
                <w:color w:val="000000"/>
                <w:kern w:val="0"/>
                <w:sz w:val="21"/>
                <w:szCs w:val="21"/>
              </w:rPr>
              <w:t>管理机构</w:t>
            </w:r>
          </w:p>
        </w:tc>
        <w:tc>
          <w:tcPr>
            <w:tcW w:w="1509" w:type="pct"/>
            <w:vAlign w:val="center"/>
          </w:tcPr>
          <w:p>
            <w:pPr>
              <w:spacing w:line="240" w:lineRule="auto"/>
              <w:ind w:firstLine="0" w:firstLineChars="0"/>
              <w:rPr>
                <w:rFonts w:cs="Times New Roman"/>
                <w:color w:val="000000"/>
                <w:kern w:val="0"/>
                <w:sz w:val="21"/>
                <w:szCs w:val="21"/>
              </w:rPr>
            </w:pPr>
            <w:r>
              <w:rPr>
                <w:rFonts w:cs="Times New Roman"/>
                <w:color w:val="000000"/>
                <w:kern w:val="0"/>
                <w:sz w:val="21"/>
                <w:szCs w:val="21"/>
              </w:rPr>
              <w:t>设置处级管理机构，人员配置15人以上，专业人员5人以上，各部门分工明确。</w:t>
            </w:r>
          </w:p>
        </w:tc>
        <w:tc>
          <w:tcPr>
            <w:tcW w:w="1683" w:type="pct"/>
            <w:vAlign w:val="center"/>
          </w:tcPr>
          <w:p>
            <w:pPr>
              <w:spacing w:line="240" w:lineRule="auto"/>
              <w:ind w:firstLine="0" w:firstLineChars="0"/>
              <w:rPr>
                <w:rFonts w:cs="Times New Roman"/>
                <w:color w:val="000000"/>
                <w:kern w:val="0"/>
                <w:sz w:val="21"/>
                <w:szCs w:val="21"/>
              </w:rPr>
            </w:pPr>
            <w:r>
              <w:rPr>
                <w:rFonts w:cs="Times New Roman"/>
                <w:color w:val="000000"/>
                <w:kern w:val="0"/>
                <w:sz w:val="21"/>
                <w:szCs w:val="21"/>
              </w:rPr>
              <w:t>设置科级管理机构，人员配置8—14人，专业人员不足5人，各部门分工明确。</w:t>
            </w:r>
          </w:p>
        </w:tc>
        <w:tc>
          <w:tcPr>
            <w:tcW w:w="1334" w:type="pct"/>
            <w:vAlign w:val="center"/>
          </w:tcPr>
          <w:p>
            <w:pPr>
              <w:spacing w:line="240" w:lineRule="auto"/>
              <w:ind w:firstLine="0" w:firstLineChars="0"/>
              <w:rPr>
                <w:rFonts w:cs="Times New Roman"/>
                <w:color w:val="000000"/>
                <w:kern w:val="0"/>
                <w:sz w:val="21"/>
                <w:szCs w:val="21"/>
              </w:rPr>
            </w:pPr>
            <w:r>
              <w:rPr>
                <w:rFonts w:cs="Times New Roman"/>
                <w:color w:val="000000"/>
                <w:kern w:val="0"/>
                <w:sz w:val="21"/>
                <w:szCs w:val="21"/>
              </w:rPr>
              <w:t xml:space="preserve">设置科级以下管理机构，人员配置8人以下。 </w:t>
            </w:r>
          </w:p>
        </w:tc>
      </w:tr>
    </w:tbl>
    <w:p>
      <w:pPr>
        <w:ind w:firstLine="560"/>
        <w:rPr>
          <w:rFonts w:ascii="宋体" w:hAnsi="宋体"/>
          <w:color w:val="000000"/>
          <w:szCs w:val="28"/>
        </w:rPr>
      </w:pPr>
      <w:r>
        <w:rPr>
          <w:rFonts w:hint="eastAsia" w:ascii="宋体" w:hAnsi="宋体"/>
          <w:color w:val="000000"/>
          <w:szCs w:val="28"/>
        </w:rPr>
        <w:t>根据公园性质、职能范围和管理项目等实际情况，湖南石门仙阳湖国家湿地公园的机构及职能设立为：</w:t>
      </w:r>
    </w:p>
    <w:p>
      <w:pPr>
        <w:ind w:firstLine="560"/>
        <w:rPr>
          <w:rFonts w:ascii="宋体" w:hAnsi="宋体"/>
          <w:szCs w:val="28"/>
        </w:rPr>
      </w:pPr>
      <w:r>
        <w:rPr>
          <w:rFonts w:hint="eastAsia" w:ascii="宋体" w:hAnsi="宋体"/>
          <w:szCs w:val="28"/>
        </w:rPr>
        <w:t>① 办公室：负责行政、人事、档案、职教、保管等。</w:t>
      </w:r>
    </w:p>
    <w:p>
      <w:pPr>
        <w:ind w:firstLine="560"/>
        <w:rPr>
          <w:rFonts w:ascii="宋体" w:hAnsi="宋体"/>
          <w:szCs w:val="28"/>
        </w:rPr>
      </w:pPr>
      <w:r>
        <w:rPr>
          <w:rFonts w:hint="eastAsia" w:ascii="宋体" w:hAnsi="宋体"/>
          <w:szCs w:val="28"/>
        </w:rPr>
        <w:t>② 科研监测科：负责整个湿地公园日常水文、气候、水质、湿地监测工作；负责科研技术引进、推广、传授、交流。</w:t>
      </w:r>
    </w:p>
    <w:p>
      <w:pPr>
        <w:widowControl/>
        <w:ind w:firstLine="560"/>
      </w:pPr>
      <w:r>
        <w:rPr>
          <w:rFonts w:hint="eastAsia" w:ascii="宋体" w:hAnsi="宋体"/>
          <w:szCs w:val="28"/>
        </w:rPr>
        <w:t xml:space="preserve">③ </w:t>
      </w:r>
      <w:r>
        <w:rPr>
          <w:rFonts w:hint="eastAsia" w:ascii="宋体" w:hAnsi="宋体"/>
          <w:szCs w:val="28"/>
          <w:lang w:bidi="ar"/>
        </w:rPr>
        <w:t xml:space="preserve">科普宣教科：负责湿地公园科普宣传和科教接待工作；负责公园社区共建共管的各项具体工作的实施；负责技术指导、市场营销等工作；负责湿地宣教中心工作。 </w:t>
      </w:r>
    </w:p>
    <w:p>
      <w:pPr>
        <w:widowControl/>
        <w:ind w:firstLine="560"/>
        <w:rPr>
          <w:rFonts w:ascii="宋体" w:hAnsi="宋体"/>
          <w:szCs w:val="28"/>
          <w:lang w:bidi="ar"/>
        </w:rPr>
      </w:pPr>
      <w:r>
        <w:rPr>
          <w:rFonts w:hint="eastAsia" w:ascii="宋体" w:hAnsi="宋体"/>
          <w:szCs w:val="28"/>
        </w:rPr>
        <w:fldChar w:fldCharType="begin"/>
      </w:r>
      <w:r>
        <w:rPr>
          <w:rFonts w:hint="eastAsia" w:ascii="宋体" w:hAnsi="宋体"/>
          <w:szCs w:val="28"/>
        </w:rPr>
        <w:instrText xml:space="preserve"> = 4 \* GB3 \* MERGEFORMAT </w:instrText>
      </w:r>
      <w:r>
        <w:rPr>
          <w:rFonts w:hint="eastAsia" w:ascii="宋体" w:hAnsi="宋体"/>
          <w:szCs w:val="28"/>
        </w:rPr>
        <w:fldChar w:fldCharType="separate"/>
      </w:r>
      <w:r>
        <w:t>④</w:t>
      </w:r>
      <w:r>
        <w:rPr>
          <w:rFonts w:hint="eastAsia" w:ascii="宋体" w:hAnsi="宋体"/>
          <w:szCs w:val="28"/>
        </w:rPr>
        <w:fldChar w:fldCharType="end"/>
      </w:r>
      <w:r>
        <w:rPr>
          <w:rFonts w:hint="eastAsia" w:ascii="宋体" w:hAnsi="宋体"/>
          <w:szCs w:val="28"/>
        </w:rPr>
        <w:t xml:space="preserve"> </w:t>
      </w:r>
      <w:r>
        <w:rPr>
          <w:rFonts w:hint="eastAsia" w:ascii="宋体" w:hAnsi="宋体"/>
          <w:szCs w:val="28"/>
          <w:lang w:bidi="ar"/>
        </w:rPr>
        <w:t>资源保护科：负责湿地公园的具体保护管理工作等。</w:t>
      </w:r>
    </w:p>
    <w:p>
      <w:pPr>
        <w:ind w:firstLine="560"/>
        <w:rPr>
          <w:rFonts w:ascii="宋体" w:hAnsi="宋体"/>
          <w:szCs w:val="28"/>
        </w:rPr>
      </w:pPr>
      <w:r>
        <w:rPr>
          <w:rFonts w:hint="eastAsia" w:ascii="宋体" w:hAnsi="宋体"/>
          <w:szCs w:val="28"/>
        </w:rPr>
        <w:t>⑤ 计划财务科：负责会计、物资、出纳、审计。</w:t>
      </w:r>
    </w:p>
    <w:p>
      <w:pPr>
        <w:ind w:firstLine="560"/>
        <w:rPr>
          <w:rFonts w:ascii="宋体" w:hAnsi="宋体"/>
          <w:szCs w:val="28"/>
        </w:rPr>
      </w:pPr>
      <w:r>
        <w:rPr>
          <w:rFonts w:hint="eastAsia" w:ascii="宋体" w:hAnsi="宋体"/>
          <w:szCs w:val="28"/>
        </w:rPr>
        <w:t>⑥ 资产管理科：负责资源管理、水电管理、建设规划等。</w:t>
      </w:r>
    </w:p>
    <w:p>
      <w:pPr>
        <w:ind w:firstLine="536"/>
        <w:rPr>
          <w:rFonts w:ascii="宋体" w:hAnsi="宋体"/>
          <w:szCs w:val="28"/>
        </w:rPr>
      </w:pPr>
      <w:r>
        <w:rPr>
          <w:rFonts w:hint="eastAsia" w:ascii="宋体" w:hAnsi="宋体"/>
          <w:spacing w:val="-6"/>
          <w:szCs w:val="28"/>
        </w:rPr>
        <w:t xml:space="preserve">⑦ </w:t>
      </w:r>
      <w:r>
        <w:rPr>
          <w:rFonts w:hint="eastAsia" w:ascii="宋体" w:hAnsi="宋体"/>
          <w:szCs w:val="28"/>
        </w:rPr>
        <w:t>社区共管科：负责公园社区共建共管的各项具体工作的实施，主要是社区扶持项目的技术指导、市场营销等工作。</w:t>
      </w:r>
    </w:p>
    <w:p>
      <w:pPr>
        <w:widowControl/>
        <w:ind w:firstLine="560"/>
        <w:rPr>
          <w:rFonts w:ascii="宋体" w:hAnsi="宋体"/>
          <w:szCs w:val="28"/>
        </w:rPr>
      </w:pPr>
      <w:r>
        <w:rPr>
          <w:rFonts w:hint="eastAsia" w:ascii="宋体" w:hAnsi="宋体"/>
          <w:szCs w:val="28"/>
        </w:rPr>
        <w:t>⑧ 湿地保护管理站：</w:t>
      </w:r>
      <w:r>
        <w:rPr>
          <w:rFonts w:hint="eastAsia" w:ascii="宋体" w:hAnsi="宋体"/>
          <w:szCs w:val="28"/>
          <w:lang w:bidi="ar"/>
        </w:rPr>
        <w:t>在公园管理处的直接领导下，负责所辖区域的全面管理工作。加强与周边乡镇、村、农户的睦邻友好关系；搞好自然资源巡护和检查工作；全力维护区域内秩序稳定，确保辖区野生动植物资源安全。</w:t>
      </w:r>
    </w:p>
    <w:p>
      <w:pPr>
        <w:ind w:firstLine="560"/>
        <w:rPr>
          <w:rFonts w:ascii="宋体" w:hAnsi="宋体"/>
          <w:szCs w:val="28"/>
        </w:rPr>
      </w:pPr>
      <w:r>
        <w:rPr>
          <w:rFonts w:hint="eastAsia" w:ascii="宋体" w:hAnsi="宋体"/>
          <w:szCs w:val="28"/>
        </w:rPr>
        <w:fldChar w:fldCharType="begin"/>
      </w:r>
      <w:r>
        <w:rPr>
          <w:rFonts w:hint="eastAsia" w:ascii="宋体" w:hAnsi="宋体"/>
          <w:szCs w:val="28"/>
        </w:rPr>
        <w:instrText xml:space="preserve"> = 9 \* GB3 \* MERGEFORMAT </w:instrText>
      </w:r>
      <w:r>
        <w:rPr>
          <w:rFonts w:hint="eastAsia" w:ascii="宋体" w:hAnsi="宋体"/>
          <w:szCs w:val="28"/>
        </w:rPr>
        <w:fldChar w:fldCharType="separate"/>
      </w:r>
      <w:r>
        <w:t>⑨</w:t>
      </w:r>
      <w:r>
        <w:rPr>
          <w:rFonts w:hint="eastAsia" w:ascii="宋体" w:hAnsi="宋体"/>
          <w:szCs w:val="28"/>
        </w:rPr>
        <w:fldChar w:fldCharType="end"/>
      </w:r>
      <w:r>
        <w:rPr>
          <w:rFonts w:hint="eastAsia" w:ascii="宋体" w:hAnsi="宋体"/>
          <w:szCs w:val="28"/>
        </w:rPr>
        <w:t xml:space="preserve"> 公园派出所：负责安全保卫，护林防火。</w:t>
      </w:r>
    </w:p>
    <w:p>
      <w:pPr>
        <w:widowControl/>
        <w:ind w:firstLine="560"/>
        <w:rPr>
          <w:rFonts w:ascii="宋体" w:hAnsi="宋体"/>
          <w:spacing w:val="-6"/>
          <w:szCs w:val="28"/>
        </w:rPr>
      </w:pPr>
      <w:r>
        <w:rPr>
          <w:rFonts w:hint="eastAsia" w:ascii="宋体" w:hAnsi="宋体"/>
          <w:spacing w:val="-6"/>
          <w:szCs w:val="28"/>
        </w:rPr>
        <w:fldChar w:fldCharType="begin"/>
      </w:r>
      <w:r>
        <w:rPr>
          <w:rFonts w:hint="eastAsia" w:ascii="宋体" w:hAnsi="宋体"/>
          <w:spacing w:val="-6"/>
          <w:szCs w:val="28"/>
        </w:rPr>
        <w:instrText xml:space="preserve"> = 10 \* GB3 \* MERGEFORMAT </w:instrText>
      </w:r>
      <w:r>
        <w:rPr>
          <w:rFonts w:hint="eastAsia" w:ascii="宋体" w:hAnsi="宋体"/>
          <w:spacing w:val="-6"/>
          <w:szCs w:val="28"/>
        </w:rPr>
        <w:fldChar w:fldCharType="separate"/>
      </w:r>
      <w:r>
        <w:t>⑩</w:t>
      </w:r>
      <w:r>
        <w:rPr>
          <w:rFonts w:hint="eastAsia" w:ascii="宋体" w:hAnsi="宋体"/>
          <w:spacing w:val="-6"/>
          <w:szCs w:val="28"/>
        </w:rPr>
        <w:fldChar w:fldCharType="end"/>
      </w:r>
      <w:r>
        <w:rPr>
          <w:rFonts w:hint="eastAsia" w:ascii="宋体" w:hAnsi="宋体"/>
          <w:spacing w:val="-6"/>
          <w:szCs w:val="28"/>
        </w:rPr>
        <w:t xml:space="preserve"> 湿地生态旅游服务公司：实行总经理负责制，负责</w:t>
      </w:r>
      <w:r>
        <w:rPr>
          <w:rFonts w:ascii="仿宋" w:hAnsi="仿宋" w:cs="仿宋"/>
          <w:color w:val="000000"/>
          <w:kern w:val="0"/>
          <w:szCs w:val="28"/>
          <w:lang w:bidi="ar"/>
        </w:rPr>
        <w:t>湿地公园生态旅游相关事务</w:t>
      </w:r>
      <w:r>
        <w:rPr>
          <w:rFonts w:hint="eastAsia" w:ascii="宋体" w:hAnsi="宋体"/>
          <w:spacing w:val="-6"/>
          <w:szCs w:val="28"/>
        </w:rPr>
        <w:t>，包括以下部门。</w:t>
      </w:r>
    </w:p>
    <w:p>
      <w:pPr>
        <w:ind w:firstLine="560"/>
        <w:rPr>
          <w:rFonts w:ascii="宋体" w:hAnsi="宋体"/>
          <w:szCs w:val="28"/>
        </w:rPr>
      </w:pPr>
      <w:r>
        <w:rPr>
          <w:rFonts w:hint="eastAsia" w:ascii="宋体" w:hAnsi="宋体"/>
          <w:szCs w:val="28"/>
        </w:rPr>
        <w:t>行政部：负责行政、人事、后勤、档案、职教、保管等；</w:t>
      </w:r>
    </w:p>
    <w:p>
      <w:pPr>
        <w:ind w:firstLine="560"/>
        <w:rPr>
          <w:rFonts w:ascii="宋体" w:hAnsi="宋体"/>
          <w:szCs w:val="28"/>
        </w:rPr>
      </w:pPr>
      <w:r>
        <w:rPr>
          <w:rFonts w:hint="eastAsia" w:ascii="宋体" w:hAnsi="宋体"/>
          <w:szCs w:val="28"/>
        </w:rPr>
        <w:t>财务部：负责财务、会计、物资、出纳、审计工作；</w:t>
      </w:r>
    </w:p>
    <w:p>
      <w:pPr>
        <w:ind w:firstLine="560"/>
        <w:rPr>
          <w:rFonts w:ascii="宋体" w:hAnsi="宋体"/>
          <w:szCs w:val="28"/>
        </w:rPr>
      </w:pPr>
      <w:r>
        <w:rPr>
          <w:rFonts w:hint="eastAsia" w:ascii="宋体" w:hAnsi="宋体"/>
          <w:szCs w:val="28"/>
        </w:rPr>
        <w:t>工程部：负责湿地公园景点的具体开发和完善、基础设施维护工作；</w:t>
      </w:r>
    </w:p>
    <w:p>
      <w:pPr>
        <w:ind w:firstLine="560"/>
        <w:rPr>
          <w:rFonts w:ascii="宋体" w:hAnsi="宋体"/>
          <w:szCs w:val="28"/>
        </w:rPr>
      </w:pPr>
      <w:r>
        <w:rPr>
          <w:rFonts w:hint="eastAsia" w:ascii="宋体" w:hAnsi="宋体"/>
          <w:szCs w:val="28"/>
        </w:rPr>
        <w:t>旅游部：负责湿地公园内的景点经营、开发、接待服务、对外宣传、市场营销；</w:t>
      </w:r>
    </w:p>
    <w:p>
      <w:pPr>
        <w:ind w:firstLine="560"/>
        <w:rPr>
          <w:rFonts w:ascii="宋体" w:hAnsi="宋体"/>
          <w:szCs w:val="28"/>
        </w:rPr>
      </w:pPr>
      <w:r>
        <w:rPr>
          <w:rFonts w:hint="eastAsia" w:ascii="宋体" w:hAnsi="宋体"/>
          <w:szCs w:val="28"/>
        </w:rPr>
        <w:t>保安部：协助派出所负责湿地公园内的治安保卫、消防等工作；</w:t>
      </w:r>
    </w:p>
    <w:p>
      <w:pPr>
        <w:ind w:firstLine="560"/>
        <w:rPr>
          <w:rFonts w:ascii="宋体" w:hAnsi="宋体"/>
          <w:szCs w:val="28"/>
        </w:rPr>
      </w:pPr>
      <w:r>
        <w:rPr>
          <w:rFonts w:hint="eastAsia" w:ascii="宋体" w:hAnsi="宋体"/>
          <w:szCs w:val="28"/>
        </w:rPr>
        <w:t>环卫部：负责湿地公园内生态保护、环境卫生、医疗服务、环境绿化美化工作。</w:t>
      </w:r>
    </w:p>
    <w:p>
      <w:pPr>
        <w:pStyle w:val="6"/>
        <w:numPr>
          <w:ilvl w:val="2"/>
          <w:numId w:val="79"/>
        </w:numPr>
      </w:pPr>
      <w:bookmarkStart w:id="619" w:name="_Toc113925866"/>
      <w:bookmarkStart w:id="620" w:name="_Toc113925614"/>
      <w:r>
        <w:rPr>
          <w:rFonts w:hint="eastAsia"/>
        </w:rPr>
        <w:t>人员编制</w:t>
      </w:r>
      <w:bookmarkEnd w:id="619"/>
      <w:bookmarkEnd w:id="620"/>
    </w:p>
    <w:p>
      <w:pPr>
        <w:pStyle w:val="7"/>
        <w:numPr>
          <w:ilvl w:val="255"/>
          <w:numId w:val="0"/>
        </w:numPr>
        <w:spacing w:before="0" w:after="0" w:line="360" w:lineRule="auto"/>
        <w:ind w:firstLine="560" w:firstLineChars="200"/>
        <w:rPr>
          <w:rFonts w:ascii="Times New Roman" w:hAnsi="Times New Roman" w:eastAsia="仿宋" w:cs="Times New Roman"/>
          <w:b w:val="0"/>
          <w:color w:val="000000"/>
          <w:szCs w:val="28"/>
        </w:rPr>
      </w:pPr>
      <w:bookmarkStart w:id="621" w:name="_Toc65547816"/>
      <w:bookmarkStart w:id="622" w:name="_Toc64363718"/>
      <w:bookmarkStart w:id="623" w:name="_Toc65549104"/>
      <w:r>
        <w:rPr>
          <w:rFonts w:ascii="Times New Roman" w:hAnsi="Times New Roman" w:eastAsia="仿宋" w:cs="Times New Roman"/>
          <w:b w:val="0"/>
          <w:color w:val="000000"/>
          <w:szCs w:val="28"/>
        </w:rPr>
        <w:t>（1）编制说明</w:t>
      </w:r>
      <w:bookmarkEnd w:id="621"/>
      <w:bookmarkEnd w:id="622"/>
      <w:bookmarkEnd w:id="623"/>
    </w:p>
    <w:p>
      <w:pPr>
        <w:ind w:firstLine="560"/>
        <w:rPr>
          <w:rFonts w:cs="Times New Roman"/>
          <w:szCs w:val="28"/>
        </w:rPr>
      </w:pPr>
      <w:r>
        <w:rPr>
          <w:rFonts w:cs="Times New Roman"/>
          <w:szCs w:val="28"/>
        </w:rPr>
        <w:t>①管理人员按总体规划中各项管理工作的需要来确定。</w:t>
      </w:r>
    </w:p>
    <w:p>
      <w:pPr>
        <w:ind w:firstLine="560"/>
        <w:rPr>
          <w:rFonts w:cs="Times New Roman"/>
          <w:szCs w:val="28"/>
        </w:rPr>
      </w:pPr>
      <w:r>
        <w:rPr>
          <w:rFonts w:cs="Times New Roman"/>
          <w:szCs w:val="28"/>
        </w:rPr>
        <w:t>②生产人员按规划任务量和有关技术经济指标确定。</w:t>
      </w:r>
    </w:p>
    <w:p>
      <w:pPr>
        <w:ind w:firstLine="560"/>
        <w:rPr>
          <w:rFonts w:cs="Times New Roman"/>
          <w:szCs w:val="28"/>
        </w:rPr>
      </w:pPr>
      <w:r>
        <w:rPr>
          <w:rFonts w:cs="Times New Roman"/>
          <w:szCs w:val="28"/>
        </w:rPr>
        <w:t>③实行以岗定员，提倡兼职、兼岗，机构和人员随公园建设的完善逐步配齐。</w:t>
      </w:r>
    </w:p>
    <w:p>
      <w:pPr>
        <w:pStyle w:val="7"/>
        <w:numPr>
          <w:ilvl w:val="255"/>
          <w:numId w:val="0"/>
        </w:numPr>
        <w:spacing w:before="0" w:after="0" w:line="360" w:lineRule="auto"/>
        <w:ind w:firstLine="560" w:firstLineChars="200"/>
        <w:rPr>
          <w:rFonts w:ascii="Times New Roman" w:hAnsi="Times New Roman" w:eastAsia="仿宋" w:cs="Times New Roman"/>
          <w:b w:val="0"/>
          <w:color w:val="000000"/>
          <w:szCs w:val="28"/>
        </w:rPr>
      </w:pPr>
      <w:bookmarkStart w:id="624" w:name="_Toc65547817"/>
      <w:bookmarkStart w:id="625" w:name="_Toc64363719"/>
      <w:bookmarkStart w:id="626" w:name="_Toc65549105"/>
      <w:r>
        <w:rPr>
          <w:rFonts w:ascii="Times New Roman" w:hAnsi="Times New Roman" w:eastAsia="仿宋" w:cs="Times New Roman"/>
          <w:b w:val="0"/>
          <w:color w:val="000000"/>
          <w:szCs w:val="28"/>
        </w:rPr>
        <w:t>（2）人员编制</w:t>
      </w:r>
      <w:bookmarkEnd w:id="624"/>
      <w:bookmarkEnd w:id="625"/>
      <w:bookmarkEnd w:id="626"/>
    </w:p>
    <w:p>
      <w:pPr>
        <w:ind w:firstLine="560"/>
        <w:rPr>
          <w:rFonts w:cs="Times New Roman"/>
          <w:szCs w:val="28"/>
        </w:rPr>
      </w:pPr>
      <w:r>
        <w:rPr>
          <w:rFonts w:cs="Times New Roman"/>
          <w:szCs w:val="28"/>
        </w:rPr>
        <w:t>根据湿地公园实际，湖南</w:t>
      </w:r>
      <w:r>
        <w:rPr>
          <w:rFonts w:hint="eastAsia" w:cs="Times New Roman"/>
          <w:szCs w:val="28"/>
        </w:rPr>
        <w:t>石门仙阳湖</w:t>
      </w:r>
      <w:r>
        <w:rPr>
          <w:rFonts w:cs="Times New Roman"/>
          <w:szCs w:val="28"/>
        </w:rPr>
        <w:t>国家湿地公园人员编制安排情况详见表1</w:t>
      </w:r>
      <w:r>
        <w:rPr>
          <w:rFonts w:hint="eastAsia" w:cs="Times New Roman"/>
          <w:szCs w:val="28"/>
        </w:rPr>
        <w:t>2</w:t>
      </w:r>
      <w:r>
        <w:rPr>
          <w:rFonts w:cs="Times New Roman"/>
          <w:szCs w:val="28"/>
        </w:rPr>
        <w:t>-2。其中公安派出所的编制另行申请解决。</w:t>
      </w:r>
    </w:p>
    <w:p>
      <w:pPr>
        <w:widowControl/>
        <w:spacing w:before="197" w:beforeLines="50" w:line="240" w:lineRule="auto"/>
        <w:ind w:firstLine="0" w:firstLineChars="0"/>
        <w:jc w:val="center"/>
        <w:rPr>
          <w:sz w:val="24"/>
        </w:rPr>
      </w:pPr>
      <w:r>
        <w:rPr>
          <w:rFonts w:hint="eastAsia" w:ascii="黑体" w:hAnsi="宋体" w:eastAsia="黑体" w:cs="黑体"/>
          <w:color w:val="000000"/>
          <w:kern w:val="0"/>
          <w:sz w:val="24"/>
          <w:lang w:bidi="ar"/>
        </w:rPr>
        <w:t>仙阳湖国家湿地公园</w:t>
      </w:r>
      <w:r>
        <w:rPr>
          <w:rFonts w:ascii="黑体" w:hAnsi="宋体" w:eastAsia="黑体" w:cs="黑体"/>
          <w:color w:val="000000"/>
          <w:kern w:val="0"/>
          <w:sz w:val="24"/>
          <w:lang w:bidi="ar"/>
        </w:rPr>
        <w:t>管理人员编制一览表</w:t>
      </w:r>
    </w:p>
    <w:p>
      <w:pPr>
        <w:pStyle w:val="14"/>
        <w:keepNext/>
        <w:spacing w:before="0" w:beforeLines="0" w:after="0" w:afterLines="0"/>
        <w:jc w:val="left"/>
        <w:rPr>
          <w:rFonts w:eastAsia="仿宋" w:cs="Times New Roman"/>
          <w:szCs w:val="21"/>
        </w:rPr>
      </w:pPr>
      <w:r>
        <w:rPr>
          <w:rFonts w:hint="eastAsia" w:ascii="黑体" w:hAnsi="黑体" w:cs="黑体"/>
          <w:szCs w:val="21"/>
        </w:rPr>
        <w:t>表</w:t>
      </w:r>
      <w:r>
        <w:rPr>
          <w:rFonts w:eastAsia="仿宋" w:cs="Times New Roman"/>
          <w:szCs w:val="21"/>
        </w:rPr>
        <w:fldChar w:fldCharType="begin"/>
      </w:r>
      <w:r>
        <w:rPr>
          <w:rFonts w:eastAsia="仿宋" w:cs="Times New Roman"/>
          <w:szCs w:val="21"/>
        </w:rPr>
        <w:instrText xml:space="preserve"> </w:instrText>
      </w:r>
      <w:r>
        <w:rPr>
          <w:rFonts w:hint="eastAsia" w:eastAsia="仿宋" w:cs="Times New Roman"/>
          <w:szCs w:val="21"/>
        </w:rPr>
        <w:instrText xml:space="preserve">STYLEREF 1 \s</w:instrText>
      </w:r>
      <w:r>
        <w:rPr>
          <w:rFonts w:eastAsia="仿宋" w:cs="Times New Roman"/>
          <w:szCs w:val="21"/>
        </w:rPr>
        <w:instrText xml:space="preserve"> </w:instrText>
      </w:r>
      <w:r>
        <w:rPr>
          <w:rFonts w:eastAsia="仿宋" w:cs="Times New Roman"/>
          <w:szCs w:val="21"/>
        </w:rPr>
        <w:fldChar w:fldCharType="separate"/>
      </w:r>
      <w:r>
        <w:rPr>
          <w:rFonts w:eastAsia="仿宋" w:cs="Times New Roman"/>
          <w:szCs w:val="21"/>
        </w:rPr>
        <w:t>12</w:t>
      </w:r>
      <w:r>
        <w:rPr>
          <w:rFonts w:eastAsia="仿宋" w:cs="Times New Roman"/>
          <w:szCs w:val="21"/>
        </w:rPr>
        <w:fldChar w:fldCharType="end"/>
      </w:r>
      <w:r>
        <w:rPr>
          <w:rFonts w:eastAsia="仿宋" w:cs="Times New Roman"/>
          <w:szCs w:val="21"/>
        </w:rPr>
        <w:t>-</w:t>
      </w:r>
      <w:r>
        <w:rPr>
          <w:rFonts w:hint="eastAsia" w:eastAsia="仿宋" w:cs="Times New Roman"/>
          <w:szCs w:val="21"/>
        </w:rPr>
        <w:t>2</w:t>
      </w:r>
    </w:p>
    <w:tbl>
      <w:tblPr>
        <w:tblStyle w:val="33"/>
        <w:tblW w:w="0" w:type="auto"/>
        <w:tblInd w:w="14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2416"/>
        <w:gridCol w:w="909"/>
        <w:gridCol w:w="47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8" w:type="dxa"/>
            <w:vAlign w:val="center"/>
          </w:tcPr>
          <w:p>
            <w:pPr>
              <w:pStyle w:val="44"/>
              <w:rPr>
                <w:rFonts w:eastAsia="仿宋" w:cs="Times New Roman"/>
                <w:szCs w:val="21"/>
              </w:rPr>
            </w:pPr>
            <w:r>
              <w:rPr>
                <w:rFonts w:hint="eastAsia" w:eastAsia="仿宋" w:cs="Times New Roman"/>
                <w:szCs w:val="21"/>
              </w:rPr>
              <w:t>序号</w:t>
            </w:r>
          </w:p>
        </w:tc>
        <w:tc>
          <w:tcPr>
            <w:tcW w:w="2416" w:type="dxa"/>
            <w:vAlign w:val="center"/>
          </w:tcPr>
          <w:p>
            <w:pPr>
              <w:pStyle w:val="44"/>
              <w:rPr>
                <w:rFonts w:eastAsia="仿宋" w:cs="Times New Roman"/>
                <w:szCs w:val="21"/>
              </w:rPr>
            </w:pPr>
            <w:r>
              <w:rPr>
                <w:rFonts w:hint="eastAsia" w:eastAsia="仿宋" w:cs="Times New Roman"/>
                <w:szCs w:val="21"/>
              </w:rPr>
              <w:t>类别</w:t>
            </w:r>
          </w:p>
        </w:tc>
        <w:tc>
          <w:tcPr>
            <w:tcW w:w="909" w:type="dxa"/>
            <w:vAlign w:val="center"/>
          </w:tcPr>
          <w:p>
            <w:pPr>
              <w:pStyle w:val="44"/>
              <w:rPr>
                <w:rFonts w:eastAsia="仿宋" w:cs="Times New Roman"/>
                <w:szCs w:val="21"/>
              </w:rPr>
            </w:pPr>
            <w:r>
              <w:rPr>
                <w:rFonts w:hint="eastAsia" w:eastAsia="仿宋" w:cs="Times New Roman"/>
                <w:szCs w:val="21"/>
              </w:rPr>
              <w:t>名额</w:t>
            </w:r>
          </w:p>
        </w:tc>
        <w:tc>
          <w:tcPr>
            <w:tcW w:w="4777" w:type="dxa"/>
            <w:vAlign w:val="center"/>
          </w:tcPr>
          <w:p>
            <w:pPr>
              <w:pStyle w:val="44"/>
              <w:rPr>
                <w:rFonts w:eastAsia="仿宋" w:cs="Times New Roman"/>
                <w:szCs w:val="21"/>
              </w:rPr>
            </w:pPr>
            <w:r>
              <w:rPr>
                <w:rFonts w:hint="eastAsia" w:eastAsia="仿宋" w:cs="Times New Roman"/>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8" w:type="dxa"/>
            <w:vAlign w:val="center"/>
          </w:tcPr>
          <w:p>
            <w:pPr>
              <w:pStyle w:val="45"/>
              <w:rPr>
                <w:rFonts w:eastAsia="仿宋" w:cs="Times New Roman"/>
                <w:sz w:val="21"/>
                <w:szCs w:val="21"/>
              </w:rPr>
            </w:pPr>
            <w:r>
              <w:rPr>
                <w:rFonts w:eastAsia="仿宋" w:cs="Times New Roman"/>
                <w:sz w:val="21"/>
                <w:szCs w:val="21"/>
              </w:rPr>
              <w:t>1</w:t>
            </w:r>
          </w:p>
        </w:tc>
        <w:tc>
          <w:tcPr>
            <w:tcW w:w="2416" w:type="dxa"/>
            <w:vAlign w:val="center"/>
          </w:tcPr>
          <w:p>
            <w:pPr>
              <w:pStyle w:val="45"/>
              <w:rPr>
                <w:rFonts w:eastAsia="仿宋" w:cs="Times New Roman"/>
                <w:sz w:val="21"/>
                <w:szCs w:val="21"/>
              </w:rPr>
            </w:pPr>
            <w:r>
              <w:rPr>
                <w:rFonts w:hint="eastAsia" w:eastAsia="仿宋" w:cs="Times New Roman"/>
                <w:sz w:val="21"/>
                <w:szCs w:val="21"/>
              </w:rPr>
              <w:t>湿地公园领导</w:t>
            </w:r>
          </w:p>
        </w:tc>
        <w:tc>
          <w:tcPr>
            <w:tcW w:w="909" w:type="dxa"/>
            <w:vAlign w:val="center"/>
          </w:tcPr>
          <w:p>
            <w:pPr>
              <w:pStyle w:val="45"/>
              <w:rPr>
                <w:rFonts w:eastAsia="仿宋" w:cs="Times New Roman"/>
                <w:sz w:val="21"/>
                <w:szCs w:val="21"/>
              </w:rPr>
            </w:pPr>
            <w:r>
              <w:rPr>
                <w:rFonts w:hint="eastAsia" w:eastAsia="仿宋" w:cs="Times New Roman"/>
                <w:sz w:val="21"/>
                <w:szCs w:val="21"/>
              </w:rPr>
              <w:t>5</w:t>
            </w:r>
          </w:p>
        </w:tc>
        <w:tc>
          <w:tcPr>
            <w:tcW w:w="4777" w:type="dxa"/>
            <w:vAlign w:val="center"/>
          </w:tcPr>
          <w:p>
            <w:pPr>
              <w:pStyle w:val="45"/>
              <w:jc w:val="left"/>
              <w:rPr>
                <w:rFonts w:eastAsia="仿宋" w:cs="Times New Roman"/>
                <w:sz w:val="21"/>
                <w:szCs w:val="21"/>
              </w:rPr>
            </w:pPr>
            <w:r>
              <w:rPr>
                <w:rFonts w:hint="eastAsia" w:eastAsia="仿宋" w:cs="Times New Roman"/>
                <w:sz w:val="21"/>
                <w:szCs w:val="21"/>
              </w:rPr>
              <w:t>主任1名，副主任,3名，纪检1名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8" w:type="dxa"/>
            <w:vAlign w:val="center"/>
          </w:tcPr>
          <w:p>
            <w:pPr>
              <w:pStyle w:val="45"/>
              <w:rPr>
                <w:rFonts w:eastAsia="仿宋" w:cs="Times New Roman"/>
                <w:sz w:val="21"/>
                <w:szCs w:val="21"/>
              </w:rPr>
            </w:pPr>
            <w:r>
              <w:rPr>
                <w:rFonts w:eastAsia="仿宋" w:cs="Times New Roman"/>
                <w:sz w:val="21"/>
                <w:szCs w:val="21"/>
              </w:rPr>
              <w:t>2</w:t>
            </w:r>
          </w:p>
        </w:tc>
        <w:tc>
          <w:tcPr>
            <w:tcW w:w="2416" w:type="dxa"/>
            <w:vAlign w:val="center"/>
          </w:tcPr>
          <w:p>
            <w:pPr>
              <w:pStyle w:val="45"/>
              <w:rPr>
                <w:rFonts w:eastAsia="仿宋" w:cs="Times New Roman"/>
                <w:sz w:val="21"/>
                <w:szCs w:val="21"/>
              </w:rPr>
            </w:pPr>
            <w:r>
              <w:rPr>
                <w:rFonts w:hint="eastAsia" w:eastAsia="仿宋" w:cs="Times New Roman"/>
                <w:sz w:val="21"/>
                <w:szCs w:val="21"/>
              </w:rPr>
              <w:t>办公室</w:t>
            </w:r>
          </w:p>
        </w:tc>
        <w:tc>
          <w:tcPr>
            <w:tcW w:w="909" w:type="dxa"/>
            <w:vAlign w:val="center"/>
          </w:tcPr>
          <w:p>
            <w:pPr>
              <w:pStyle w:val="45"/>
              <w:rPr>
                <w:rFonts w:eastAsia="仿宋" w:cs="Times New Roman"/>
                <w:sz w:val="21"/>
                <w:szCs w:val="21"/>
              </w:rPr>
            </w:pPr>
            <w:r>
              <w:rPr>
                <w:rFonts w:hint="eastAsia" w:eastAsia="仿宋" w:cs="Times New Roman"/>
                <w:sz w:val="21"/>
                <w:szCs w:val="21"/>
              </w:rPr>
              <w:t>3</w:t>
            </w:r>
          </w:p>
        </w:tc>
        <w:tc>
          <w:tcPr>
            <w:tcW w:w="4777" w:type="dxa"/>
            <w:vAlign w:val="center"/>
          </w:tcPr>
          <w:p>
            <w:pPr>
              <w:pStyle w:val="45"/>
              <w:jc w:val="left"/>
              <w:rPr>
                <w:rFonts w:eastAsia="仿宋" w:cs="Times New Roman"/>
                <w:sz w:val="21"/>
                <w:szCs w:val="21"/>
              </w:rPr>
            </w:pPr>
            <w:r>
              <w:rPr>
                <w:rFonts w:hint="eastAsia" w:eastAsia="仿宋" w:cs="Times New Roman"/>
                <w:sz w:val="21"/>
                <w:szCs w:val="21"/>
              </w:rPr>
              <w:t>主任1名，工作人员2名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8" w:type="dxa"/>
            <w:vAlign w:val="center"/>
          </w:tcPr>
          <w:p>
            <w:pPr>
              <w:pStyle w:val="45"/>
              <w:rPr>
                <w:rFonts w:eastAsia="仿宋" w:cs="Times New Roman"/>
                <w:sz w:val="21"/>
                <w:szCs w:val="21"/>
              </w:rPr>
            </w:pPr>
            <w:r>
              <w:rPr>
                <w:rFonts w:eastAsia="仿宋" w:cs="Times New Roman"/>
                <w:sz w:val="21"/>
                <w:szCs w:val="21"/>
              </w:rPr>
              <w:t>3</w:t>
            </w:r>
          </w:p>
        </w:tc>
        <w:tc>
          <w:tcPr>
            <w:tcW w:w="2416" w:type="dxa"/>
            <w:vAlign w:val="center"/>
          </w:tcPr>
          <w:p>
            <w:pPr>
              <w:pStyle w:val="45"/>
              <w:rPr>
                <w:rFonts w:eastAsia="仿宋" w:cs="Times New Roman"/>
                <w:sz w:val="21"/>
                <w:szCs w:val="21"/>
              </w:rPr>
            </w:pPr>
            <w:r>
              <w:rPr>
                <w:rFonts w:hint="eastAsia" w:eastAsia="仿宋" w:cs="Times New Roman"/>
                <w:sz w:val="21"/>
                <w:szCs w:val="21"/>
              </w:rPr>
              <w:t>科研监测科</w:t>
            </w:r>
          </w:p>
        </w:tc>
        <w:tc>
          <w:tcPr>
            <w:tcW w:w="909" w:type="dxa"/>
            <w:vAlign w:val="center"/>
          </w:tcPr>
          <w:p>
            <w:pPr>
              <w:pStyle w:val="45"/>
              <w:rPr>
                <w:rFonts w:eastAsia="仿宋" w:cs="Times New Roman"/>
                <w:sz w:val="21"/>
                <w:szCs w:val="21"/>
              </w:rPr>
            </w:pPr>
            <w:r>
              <w:rPr>
                <w:rFonts w:eastAsia="仿宋" w:cs="Times New Roman"/>
                <w:sz w:val="21"/>
                <w:szCs w:val="21"/>
              </w:rPr>
              <w:t>3</w:t>
            </w:r>
          </w:p>
        </w:tc>
        <w:tc>
          <w:tcPr>
            <w:tcW w:w="4777" w:type="dxa"/>
            <w:vAlign w:val="center"/>
          </w:tcPr>
          <w:p>
            <w:pPr>
              <w:pStyle w:val="45"/>
              <w:jc w:val="left"/>
              <w:rPr>
                <w:rFonts w:eastAsia="仿宋" w:cs="Times New Roman"/>
                <w:sz w:val="21"/>
                <w:szCs w:val="21"/>
              </w:rPr>
            </w:pPr>
            <w:r>
              <w:rPr>
                <w:rFonts w:hint="eastAsia" w:eastAsia="仿宋" w:cs="Times New Roman"/>
                <w:sz w:val="21"/>
                <w:szCs w:val="21"/>
              </w:rPr>
              <w:t>科长</w:t>
            </w:r>
            <w:r>
              <w:rPr>
                <w:rFonts w:eastAsia="仿宋" w:cs="Times New Roman"/>
                <w:sz w:val="21"/>
                <w:szCs w:val="21"/>
              </w:rPr>
              <w:t>1</w:t>
            </w:r>
            <w:r>
              <w:rPr>
                <w:rFonts w:hint="eastAsia" w:eastAsia="仿宋" w:cs="Times New Roman"/>
                <w:sz w:val="21"/>
                <w:szCs w:val="21"/>
              </w:rPr>
              <w:t>名，科员2名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8" w:type="dxa"/>
            <w:vAlign w:val="center"/>
          </w:tcPr>
          <w:p>
            <w:pPr>
              <w:pStyle w:val="45"/>
              <w:rPr>
                <w:rFonts w:eastAsia="仿宋" w:cs="Times New Roman"/>
                <w:sz w:val="21"/>
                <w:szCs w:val="21"/>
              </w:rPr>
            </w:pPr>
            <w:r>
              <w:rPr>
                <w:rFonts w:hint="eastAsia" w:eastAsia="仿宋" w:cs="Times New Roman"/>
                <w:sz w:val="21"/>
                <w:szCs w:val="21"/>
              </w:rPr>
              <w:t>4</w:t>
            </w:r>
          </w:p>
        </w:tc>
        <w:tc>
          <w:tcPr>
            <w:tcW w:w="2416" w:type="dxa"/>
            <w:vAlign w:val="center"/>
          </w:tcPr>
          <w:p>
            <w:pPr>
              <w:pStyle w:val="45"/>
              <w:rPr>
                <w:rFonts w:eastAsia="仿宋" w:cs="Times New Roman"/>
                <w:sz w:val="21"/>
                <w:szCs w:val="21"/>
              </w:rPr>
            </w:pPr>
            <w:r>
              <w:rPr>
                <w:rFonts w:hint="eastAsia" w:eastAsia="仿宋" w:cs="Times New Roman"/>
                <w:sz w:val="21"/>
                <w:szCs w:val="21"/>
              </w:rPr>
              <w:t>科普宣教科</w:t>
            </w:r>
          </w:p>
        </w:tc>
        <w:tc>
          <w:tcPr>
            <w:tcW w:w="909" w:type="dxa"/>
            <w:vAlign w:val="center"/>
          </w:tcPr>
          <w:p>
            <w:pPr>
              <w:pStyle w:val="45"/>
              <w:rPr>
                <w:rFonts w:eastAsia="仿宋" w:cs="Times New Roman"/>
                <w:sz w:val="21"/>
                <w:szCs w:val="21"/>
              </w:rPr>
            </w:pPr>
            <w:r>
              <w:rPr>
                <w:rFonts w:eastAsia="仿宋" w:cs="Times New Roman"/>
                <w:sz w:val="21"/>
                <w:szCs w:val="21"/>
              </w:rPr>
              <w:t>3</w:t>
            </w:r>
          </w:p>
        </w:tc>
        <w:tc>
          <w:tcPr>
            <w:tcW w:w="4777" w:type="dxa"/>
            <w:vAlign w:val="center"/>
          </w:tcPr>
          <w:p>
            <w:pPr>
              <w:pStyle w:val="45"/>
              <w:jc w:val="left"/>
              <w:rPr>
                <w:rFonts w:eastAsia="仿宋" w:cs="Times New Roman"/>
                <w:sz w:val="21"/>
                <w:szCs w:val="21"/>
              </w:rPr>
            </w:pPr>
            <w:r>
              <w:rPr>
                <w:rFonts w:hint="eastAsia" w:eastAsia="仿宋" w:cs="Times New Roman"/>
                <w:sz w:val="21"/>
                <w:szCs w:val="21"/>
              </w:rPr>
              <w:t>科长</w:t>
            </w:r>
            <w:r>
              <w:rPr>
                <w:rFonts w:eastAsia="仿宋" w:cs="Times New Roman"/>
                <w:sz w:val="21"/>
                <w:szCs w:val="21"/>
              </w:rPr>
              <w:t>1</w:t>
            </w:r>
            <w:r>
              <w:rPr>
                <w:rFonts w:hint="eastAsia" w:eastAsia="仿宋" w:cs="Times New Roman"/>
                <w:sz w:val="21"/>
                <w:szCs w:val="21"/>
              </w:rPr>
              <w:t>名，科员2名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8" w:type="dxa"/>
            <w:vAlign w:val="center"/>
          </w:tcPr>
          <w:p>
            <w:pPr>
              <w:pStyle w:val="45"/>
              <w:rPr>
                <w:rFonts w:eastAsia="仿宋" w:cs="Times New Roman"/>
                <w:sz w:val="21"/>
                <w:szCs w:val="21"/>
              </w:rPr>
            </w:pPr>
            <w:r>
              <w:rPr>
                <w:rFonts w:hint="eastAsia" w:eastAsia="仿宋" w:cs="Times New Roman"/>
                <w:sz w:val="21"/>
                <w:szCs w:val="21"/>
              </w:rPr>
              <w:t>5</w:t>
            </w:r>
          </w:p>
        </w:tc>
        <w:tc>
          <w:tcPr>
            <w:tcW w:w="2416" w:type="dxa"/>
            <w:vAlign w:val="center"/>
          </w:tcPr>
          <w:p>
            <w:pPr>
              <w:pStyle w:val="45"/>
              <w:rPr>
                <w:rFonts w:eastAsia="仿宋" w:cs="Times New Roman"/>
                <w:sz w:val="21"/>
                <w:szCs w:val="21"/>
              </w:rPr>
            </w:pPr>
            <w:r>
              <w:rPr>
                <w:rFonts w:hint="eastAsia" w:eastAsia="仿宋" w:cs="Times New Roman"/>
                <w:sz w:val="21"/>
                <w:szCs w:val="21"/>
              </w:rPr>
              <w:t>资源保护科</w:t>
            </w:r>
          </w:p>
        </w:tc>
        <w:tc>
          <w:tcPr>
            <w:tcW w:w="909" w:type="dxa"/>
            <w:vAlign w:val="center"/>
          </w:tcPr>
          <w:p>
            <w:pPr>
              <w:pStyle w:val="45"/>
              <w:rPr>
                <w:rFonts w:eastAsia="仿宋" w:cs="Times New Roman"/>
                <w:sz w:val="21"/>
                <w:szCs w:val="21"/>
              </w:rPr>
            </w:pPr>
            <w:r>
              <w:rPr>
                <w:rFonts w:hint="eastAsia" w:eastAsia="仿宋" w:cs="Times New Roman"/>
                <w:sz w:val="21"/>
                <w:szCs w:val="21"/>
              </w:rPr>
              <w:t>7</w:t>
            </w:r>
          </w:p>
        </w:tc>
        <w:tc>
          <w:tcPr>
            <w:tcW w:w="4777" w:type="dxa"/>
            <w:vAlign w:val="center"/>
          </w:tcPr>
          <w:p>
            <w:pPr>
              <w:pStyle w:val="45"/>
              <w:jc w:val="left"/>
              <w:rPr>
                <w:rFonts w:eastAsia="仿宋" w:cs="Times New Roman"/>
                <w:sz w:val="21"/>
                <w:szCs w:val="21"/>
              </w:rPr>
            </w:pPr>
            <w:r>
              <w:rPr>
                <w:rFonts w:hint="eastAsia" w:eastAsia="仿宋" w:cs="Times New Roman"/>
                <w:sz w:val="21"/>
                <w:szCs w:val="21"/>
              </w:rPr>
              <w:t>科长1名，副科长1名，科员5名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8" w:type="dxa"/>
            <w:vAlign w:val="center"/>
          </w:tcPr>
          <w:p>
            <w:pPr>
              <w:pStyle w:val="45"/>
              <w:rPr>
                <w:rFonts w:eastAsia="仿宋" w:cs="Times New Roman"/>
                <w:sz w:val="21"/>
                <w:szCs w:val="21"/>
              </w:rPr>
            </w:pPr>
            <w:r>
              <w:rPr>
                <w:rFonts w:hint="eastAsia" w:eastAsia="仿宋" w:cs="Times New Roman"/>
                <w:sz w:val="21"/>
                <w:szCs w:val="21"/>
              </w:rPr>
              <w:t>6</w:t>
            </w:r>
          </w:p>
        </w:tc>
        <w:tc>
          <w:tcPr>
            <w:tcW w:w="2416" w:type="dxa"/>
            <w:vAlign w:val="center"/>
          </w:tcPr>
          <w:p>
            <w:pPr>
              <w:spacing w:line="240" w:lineRule="auto"/>
              <w:ind w:firstLine="0" w:firstLineChars="0"/>
              <w:jc w:val="center"/>
              <w:rPr>
                <w:rFonts w:cs="Times New Roman"/>
                <w:sz w:val="21"/>
                <w:szCs w:val="21"/>
              </w:rPr>
            </w:pPr>
            <w:r>
              <w:rPr>
                <w:rFonts w:hint="eastAsia" w:cs="Times New Roman"/>
                <w:sz w:val="21"/>
                <w:szCs w:val="21"/>
              </w:rPr>
              <w:t>计划财务科</w:t>
            </w:r>
          </w:p>
        </w:tc>
        <w:tc>
          <w:tcPr>
            <w:tcW w:w="909" w:type="dxa"/>
            <w:vAlign w:val="center"/>
          </w:tcPr>
          <w:p>
            <w:pPr>
              <w:spacing w:line="240" w:lineRule="auto"/>
              <w:ind w:firstLine="0" w:firstLineChars="0"/>
              <w:jc w:val="center"/>
              <w:rPr>
                <w:rFonts w:cs="Times New Roman"/>
                <w:sz w:val="21"/>
                <w:szCs w:val="21"/>
              </w:rPr>
            </w:pPr>
            <w:r>
              <w:rPr>
                <w:rFonts w:hint="eastAsia" w:cs="Times New Roman"/>
                <w:sz w:val="21"/>
                <w:szCs w:val="21"/>
              </w:rPr>
              <w:t>3</w:t>
            </w:r>
          </w:p>
        </w:tc>
        <w:tc>
          <w:tcPr>
            <w:tcW w:w="4777" w:type="dxa"/>
            <w:vAlign w:val="center"/>
          </w:tcPr>
          <w:p>
            <w:pPr>
              <w:spacing w:line="240" w:lineRule="auto"/>
              <w:ind w:firstLine="0" w:firstLineChars="0"/>
              <w:jc w:val="left"/>
              <w:rPr>
                <w:rFonts w:cs="Times New Roman"/>
                <w:sz w:val="21"/>
                <w:szCs w:val="21"/>
              </w:rPr>
            </w:pPr>
            <w:r>
              <w:rPr>
                <w:rFonts w:hint="eastAsia" w:cs="Times New Roman"/>
                <w:sz w:val="21"/>
                <w:szCs w:val="21"/>
              </w:rPr>
              <w:t>科长1名，科员2名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8" w:type="dxa"/>
            <w:vAlign w:val="center"/>
          </w:tcPr>
          <w:p>
            <w:pPr>
              <w:pStyle w:val="45"/>
              <w:rPr>
                <w:rFonts w:eastAsia="仿宋" w:cs="Times New Roman"/>
                <w:sz w:val="21"/>
                <w:szCs w:val="21"/>
              </w:rPr>
            </w:pPr>
            <w:r>
              <w:rPr>
                <w:rFonts w:hint="eastAsia" w:eastAsia="仿宋" w:cs="Times New Roman"/>
                <w:sz w:val="21"/>
                <w:szCs w:val="21"/>
              </w:rPr>
              <w:t>7</w:t>
            </w:r>
          </w:p>
        </w:tc>
        <w:tc>
          <w:tcPr>
            <w:tcW w:w="2416" w:type="dxa"/>
            <w:vAlign w:val="center"/>
          </w:tcPr>
          <w:p>
            <w:pPr>
              <w:spacing w:line="240" w:lineRule="auto"/>
              <w:ind w:firstLine="0" w:firstLineChars="0"/>
              <w:jc w:val="center"/>
              <w:rPr>
                <w:rFonts w:cs="Times New Roman"/>
                <w:sz w:val="21"/>
                <w:szCs w:val="21"/>
              </w:rPr>
            </w:pPr>
            <w:r>
              <w:rPr>
                <w:rFonts w:hint="eastAsia" w:cs="Times New Roman"/>
                <w:sz w:val="21"/>
                <w:szCs w:val="21"/>
              </w:rPr>
              <w:t>资产管理科</w:t>
            </w:r>
          </w:p>
        </w:tc>
        <w:tc>
          <w:tcPr>
            <w:tcW w:w="909" w:type="dxa"/>
            <w:vAlign w:val="center"/>
          </w:tcPr>
          <w:p>
            <w:pPr>
              <w:spacing w:line="240" w:lineRule="auto"/>
              <w:ind w:firstLine="0" w:firstLineChars="0"/>
              <w:jc w:val="center"/>
              <w:rPr>
                <w:rFonts w:cs="Times New Roman"/>
                <w:sz w:val="21"/>
                <w:szCs w:val="21"/>
              </w:rPr>
            </w:pPr>
            <w:r>
              <w:rPr>
                <w:rFonts w:hint="eastAsia" w:cs="Times New Roman"/>
                <w:sz w:val="21"/>
                <w:szCs w:val="21"/>
              </w:rPr>
              <w:t>3</w:t>
            </w:r>
          </w:p>
        </w:tc>
        <w:tc>
          <w:tcPr>
            <w:tcW w:w="4777" w:type="dxa"/>
            <w:vAlign w:val="center"/>
          </w:tcPr>
          <w:p>
            <w:pPr>
              <w:spacing w:line="240" w:lineRule="auto"/>
              <w:ind w:firstLine="0" w:firstLineChars="0"/>
              <w:jc w:val="left"/>
              <w:rPr>
                <w:rFonts w:cs="Times New Roman"/>
                <w:sz w:val="21"/>
                <w:szCs w:val="21"/>
              </w:rPr>
            </w:pPr>
            <w:r>
              <w:rPr>
                <w:rFonts w:hint="eastAsia" w:cs="Times New Roman"/>
                <w:sz w:val="21"/>
                <w:szCs w:val="21"/>
              </w:rPr>
              <w:t>科长1名，科员2名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8" w:type="dxa"/>
            <w:vAlign w:val="center"/>
          </w:tcPr>
          <w:p>
            <w:pPr>
              <w:pStyle w:val="45"/>
              <w:rPr>
                <w:rFonts w:eastAsia="仿宋" w:cs="Times New Roman"/>
                <w:sz w:val="21"/>
                <w:szCs w:val="21"/>
              </w:rPr>
            </w:pPr>
            <w:r>
              <w:rPr>
                <w:rFonts w:hint="eastAsia" w:eastAsia="仿宋" w:cs="Times New Roman"/>
                <w:sz w:val="21"/>
                <w:szCs w:val="21"/>
              </w:rPr>
              <w:t>8</w:t>
            </w:r>
          </w:p>
        </w:tc>
        <w:tc>
          <w:tcPr>
            <w:tcW w:w="2416" w:type="dxa"/>
            <w:vAlign w:val="center"/>
          </w:tcPr>
          <w:p>
            <w:pPr>
              <w:spacing w:line="240" w:lineRule="auto"/>
              <w:ind w:firstLine="0" w:firstLineChars="0"/>
              <w:jc w:val="center"/>
              <w:rPr>
                <w:rFonts w:cs="Times New Roman"/>
                <w:sz w:val="21"/>
                <w:szCs w:val="21"/>
              </w:rPr>
            </w:pPr>
            <w:r>
              <w:rPr>
                <w:rFonts w:hint="eastAsia" w:cs="Times New Roman"/>
                <w:sz w:val="21"/>
                <w:szCs w:val="21"/>
              </w:rPr>
              <w:t>社区共管科</w:t>
            </w:r>
          </w:p>
        </w:tc>
        <w:tc>
          <w:tcPr>
            <w:tcW w:w="909" w:type="dxa"/>
            <w:vAlign w:val="center"/>
          </w:tcPr>
          <w:p>
            <w:pPr>
              <w:spacing w:line="240" w:lineRule="auto"/>
              <w:ind w:firstLine="0" w:firstLineChars="0"/>
              <w:jc w:val="center"/>
              <w:rPr>
                <w:rFonts w:cs="Times New Roman"/>
                <w:sz w:val="21"/>
                <w:szCs w:val="21"/>
              </w:rPr>
            </w:pPr>
            <w:r>
              <w:rPr>
                <w:rFonts w:hint="eastAsia" w:cs="Times New Roman"/>
                <w:sz w:val="21"/>
                <w:szCs w:val="21"/>
              </w:rPr>
              <w:t>3</w:t>
            </w:r>
          </w:p>
        </w:tc>
        <w:tc>
          <w:tcPr>
            <w:tcW w:w="4777" w:type="dxa"/>
            <w:vAlign w:val="center"/>
          </w:tcPr>
          <w:p>
            <w:pPr>
              <w:spacing w:line="240" w:lineRule="auto"/>
              <w:ind w:firstLine="0" w:firstLineChars="0"/>
              <w:jc w:val="left"/>
              <w:rPr>
                <w:rFonts w:cs="Times New Roman"/>
                <w:sz w:val="21"/>
                <w:szCs w:val="21"/>
              </w:rPr>
            </w:pPr>
            <w:r>
              <w:rPr>
                <w:rFonts w:hint="eastAsia" w:cs="Times New Roman"/>
                <w:sz w:val="21"/>
                <w:szCs w:val="21"/>
              </w:rPr>
              <w:t>科长1名，科员2名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8" w:type="dxa"/>
            <w:vAlign w:val="center"/>
          </w:tcPr>
          <w:p>
            <w:pPr>
              <w:pStyle w:val="45"/>
              <w:rPr>
                <w:rFonts w:eastAsia="仿宋" w:cs="Times New Roman"/>
                <w:sz w:val="21"/>
                <w:szCs w:val="21"/>
              </w:rPr>
            </w:pPr>
            <w:r>
              <w:rPr>
                <w:rFonts w:hint="eastAsia" w:eastAsia="仿宋" w:cs="Times New Roman"/>
                <w:sz w:val="21"/>
                <w:szCs w:val="21"/>
              </w:rPr>
              <w:t>9</w:t>
            </w:r>
          </w:p>
        </w:tc>
        <w:tc>
          <w:tcPr>
            <w:tcW w:w="2416" w:type="dxa"/>
            <w:vAlign w:val="center"/>
          </w:tcPr>
          <w:p>
            <w:pPr>
              <w:spacing w:line="240" w:lineRule="auto"/>
              <w:ind w:firstLine="0" w:firstLineChars="0"/>
              <w:jc w:val="center"/>
              <w:rPr>
                <w:rFonts w:cs="Times New Roman"/>
                <w:sz w:val="21"/>
                <w:szCs w:val="21"/>
              </w:rPr>
            </w:pPr>
            <w:r>
              <w:rPr>
                <w:rFonts w:hint="eastAsia" w:cs="Times New Roman"/>
                <w:sz w:val="21"/>
                <w:szCs w:val="21"/>
              </w:rPr>
              <w:t>湿地保护管理站</w:t>
            </w:r>
          </w:p>
        </w:tc>
        <w:tc>
          <w:tcPr>
            <w:tcW w:w="909" w:type="dxa"/>
            <w:vAlign w:val="center"/>
          </w:tcPr>
          <w:p>
            <w:pPr>
              <w:spacing w:line="240" w:lineRule="auto"/>
              <w:ind w:firstLine="0" w:firstLineChars="0"/>
              <w:jc w:val="center"/>
              <w:rPr>
                <w:rFonts w:cs="Times New Roman"/>
                <w:sz w:val="21"/>
                <w:szCs w:val="21"/>
              </w:rPr>
            </w:pPr>
            <w:r>
              <w:rPr>
                <w:rFonts w:hint="eastAsia" w:cs="Times New Roman"/>
                <w:sz w:val="21"/>
                <w:szCs w:val="21"/>
              </w:rPr>
              <w:t>12</w:t>
            </w:r>
          </w:p>
        </w:tc>
        <w:tc>
          <w:tcPr>
            <w:tcW w:w="4777" w:type="dxa"/>
            <w:vAlign w:val="center"/>
          </w:tcPr>
          <w:p>
            <w:pPr>
              <w:spacing w:line="240" w:lineRule="auto"/>
              <w:ind w:firstLine="0" w:firstLineChars="0"/>
              <w:jc w:val="left"/>
              <w:rPr>
                <w:rFonts w:cs="Times New Roman"/>
                <w:sz w:val="21"/>
                <w:szCs w:val="21"/>
              </w:rPr>
            </w:pPr>
            <w:r>
              <w:rPr>
                <w:rFonts w:hint="eastAsia" w:cs="Times New Roman"/>
                <w:sz w:val="21"/>
                <w:szCs w:val="21"/>
              </w:rPr>
              <w:t>每个湿地保护管理站站长1名，工作人员2名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8" w:type="dxa"/>
            <w:vAlign w:val="center"/>
          </w:tcPr>
          <w:p>
            <w:pPr>
              <w:pStyle w:val="45"/>
              <w:rPr>
                <w:rFonts w:eastAsia="仿宋" w:cs="Times New Roman"/>
                <w:sz w:val="21"/>
                <w:szCs w:val="21"/>
              </w:rPr>
            </w:pPr>
            <w:r>
              <w:rPr>
                <w:rFonts w:hint="eastAsia" w:eastAsia="仿宋" w:cs="Times New Roman"/>
                <w:sz w:val="21"/>
                <w:szCs w:val="21"/>
              </w:rPr>
              <w:t>10</w:t>
            </w:r>
          </w:p>
        </w:tc>
        <w:tc>
          <w:tcPr>
            <w:tcW w:w="2416" w:type="dxa"/>
            <w:vAlign w:val="center"/>
          </w:tcPr>
          <w:p>
            <w:pPr>
              <w:spacing w:line="240" w:lineRule="auto"/>
              <w:ind w:firstLine="0" w:firstLineChars="0"/>
              <w:jc w:val="center"/>
              <w:rPr>
                <w:rFonts w:cs="Times New Roman"/>
                <w:sz w:val="21"/>
                <w:szCs w:val="21"/>
              </w:rPr>
            </w:pPr>
            <w:r>
              <w:rPr>
                <w:rFonts w:hint="eastAsia" w:cs="Times New Roman"/>
                <w:sz w:val="21"/>
                <w:szCs w:val="21"/>
              </w:rPr>
              <w:t>湿地生态旅游服务公司</w:t>
            </w:r>
          </w:p>
        </w:tc>
        <w:tc>
          <w:tcPr>
            <w:tcW w:w="909" w:type="dxa"/>
            <w:vAlign w:val="center"/>
          </w:tcPr>
          <w:p>
            <w:pPr>
              <w:spacing w:line="240" w:lineRule="auto"/>
              <w:ind w:firstLine="0" w:firstLineChars="0"/>
              <w:jc w:val="center"/>
              <w:rPr>
                <w:rFonts w:cs="Times New Roman"/>
                <w:sz w:val="21"/>
                <w:szCs w:val="21"/>
              </w:rPr>
            </w:pPr>
            <w:r>
              <w:rPr>
                <w:rFonts w:hint="eastAsia" w:cs="Times New Roman"/>
                <w:sz w:val="21"/>
                <w:szCs w:val="21"/>
              </w:rPr>
              <w:t>2</w:t>
            </w:r>
          </w:p>
        </w:tc>
        <w:tc>
          <w:tcPr>
            <w:tcW w:w="4777" w:type="dxa"/>
            <w:vAlign w:val="center"/>
          </w:tcPr>
          <w:p>
            <w:pPr>
              <w:spacing w:line="240" w:lineRule="auto"/>
              <w:ind w:firstLine="0" w:firstLineChars="0"/>
              <w:jc w:val="left"/>
              <w:rPr>
                <w:rFonts w:cs="Times New Roman"/>
                <w:sz w:val="21"/>
                <w:szCs w:val="21"/>
              </w:rPr>
            </w:pPr>
            <w:r>
              <w:rPr>
                <w:rFonts w:hint="eastAsia" w:cs="Times New Roman"/>
                <w:sz w:val="21"/>
                <w:szCs w:val="21"/>
              </w:rPr>
              <w:t>经理1名，副经理1名，其余人员采用合同招聘制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74" w:type="dxa"/>
            <w:gridSpan w:val="2"/>
            <w:vAlign w:val="center"/>
          </w:tcPr>
          <w:p>
            <w:pPr>
              <w:pStyle w:val="45"/>
              <w:rPr>
                <w:rFonts w:eastAsia="仿宋" w:cs="Times New Roman"/>
                <w:sz w:val="21"/>
                <w:szCs w:val="21"/>
              </w:rPr>
            </w:pPr>
            <w:r>
              <w:rPr>
                <w:rFonts w:hint="eastAsia" w:eastAsia="仿宋" w:cs="Times New Roman"/>
                <w:sz w:val="21"/>
                <w:szCs w:val="21"/>
              </w:rPr>
              <w:t>合计</w:t>
            </w:r>
          </w:p>
        </w:tc>
        <w:tc>
          <w:tcPr>
            <w:tcW w:w="909" w:type="dxa"/>
            <w:vAlign w:val="center"/>
          </w:tcPr>
          <w:p>
            <w:pPr>
              <w:pStyle w:val="45"/>
              <w:rPr>
                <w:rFonts w:eastAsia="仿宋" w:cs="Times New Roman"/>
                <w:sz w:val="21"/>
                <w:szCs w:val="21"/>
              </w:rPr>
            </w:pPr>
            <w:r>
              <w:rPr>
                <w:rFonts w:hint="eastAsia" w:eastAsia="仿宋" w:cs="Times New Roman"/>
                <w:sz w:val="21"/>
                <w:szCs w:val="21"/>
              </w:rPr>
              <w:t>44</w:t>
            </w:r>
          </w:p>
        </w:tc>
        <w:tc>
          <w:tcPr>
            <w:tcW w:w="4777" w:type="dxa"/>
            <w:vAlign w:val="center"/>
          </w:tcPr>
          <w:p>
            <w:pPr>
              <w:pStyle w:val="45"/>
              <w:jc w:val="left"/>
              <w:rPr>
                <w:rFonts w:eastAsia="仿宋" w:cs="Times New Roman"/>
                <w:sz w:val="21"/>
                <w:szCs w:val="21"/>
              </w:rPr>
            </w:pPr>
            <w:r>
              <w:rPr>
                <w:rFonts w:hint="eastAsia" w:eastAsia="仿宋" w:cs="Times New Roman"/>
                <w:sz w:val="21"/>
                <w:szCs w:val="21"/>
              </w:rPr>
              <w:t>不包括临时聘用人员</w:t>
            </w:r>
          </w:p>
        </w:tc>
      </w:tr>
    </w:tbl>
    <w:p>
      <w:pPr>
        <w:pStyle w:val="5"/>
        <w:numPr>
          <w:ilvl w:val="1"/>
          <w:numId w:val="79"/>
        </w:numPr>
        <w:spacing w:before="197"/>
      </w:pPr>
      <w:bookmarkStart w:id="627" w:name="_Toc21996"/>
      <w:bookmarkStart w:id="628" w:name="_Toc113925615"/>
      <w:bookmarkStart w:id="629" w:name="_Toc29680"/>
      <w:bookmarkStart w:id="630" w:name="_Toc113925867"/>
      <w:bookmarkStart w:id="631" w:name="_Toc117114413"/>
      <w:bookmarkStart w:id="632" w:name="_Toc114084683"/>
      <w:r>
        <w:rPr>
          <w:rFonts w:hint="eastAsia"/>
        </w:rPr>
        <w:t>管理设施规划</w:t>
      </w:r>
      <w:bookmarkEnd w:id="627"/>
      <w:bookmarkEnd w:id="628"/>
      <w:bookmarkEnd w:id="629"/>
      <w:bookmarkEnd w:id="630"/>
      <w:bookmarkEnd w:id="631"/>
      <w:bookmarkEnd w:id="632"/>
    </w:p>
    <w:p>
      <w:pPr>
        <w:pStyle w:val="6"/>
        <w:numPr>
          <w:ilvl w:val="2"/>
          <w:numId w:val="80"/>
        </w:numPr>
      </w:pPr>
      <w:bookmarkStart w:id="633" w:name="_Toc113925616"/>
      <w:bookmarkStart w:id="634" w:name="_Toc113925868"/>
      <w:r>
        <w:rPr>
          <w:rFonts w:hint="eastAsia"/>
        </w:rPr>
        <w:t>湿地公园管理机构建设规划</w:t>
      </w:r>
      <w:bookmarkEnd w:id="633"/>
      <w:bookmarkEnd w:id="634"/>
    </w:p>
    <w:p>
      <w:pPr>
        <w:ind w:firstLine="560"/>
        <w:rPr>
          <w:rFonts w:cs="Times New Roman"/>
        </w:rPr>
      </w:pPr>
      <w:r>
        <w:rPr>
          <w:rFonts w:hint="eastAsia" w:cs="Times New Roman"/>
        </w:rPr>
        <w:t>（1）湿地公园管理处业务用房</w:t>
      </w:r>
    </w:p>
    <w:p>
      <w:pPr>
        <w:ind w:firstLine="560"/>
        <w:rPr>
          <w:rFonts w:cs="Times New Roman"/>
        </w:rPr>
      </w:pPr>
      <w:r>
        <w:rPr>
          <w:rFonts w:hint="eastAsia" w:cs="Times New Roman"/>
        </w:rPr>
        <w:t>原湖南石门仙阳湖国家湿地公园管理处办公楼年久老旧，经鉴定为危房已拆除。本期规划在彭家堡附近新建湿地公园管理处业务用房，占地面积2000平方米，主要包括保护管理处办公用房、会议室、资料档案室和附属用房等。或由石门县人民政府划拨现有国有资产解决湿地公园办公和业务工作用房。</w:t>
      </w:r>
    </w:p>
    <w:p>
      <w:pPr>
        <w:pStyle w:val="16"/>
        <w:spacing w:after="0"/>
        <w:ind w:firstLine="0" w:firstLineChars="0"/>
        <w:jc w:val="center"/>
      </w:pPr>
      <w:r>
        <w:drawing>
          <wp:inline distT="0" distB="0" distL="114300" distR="114300">
            <wp:extent cx="3877310" cy="5686425"/>
            <wp:effectExtent l="0" t="0" r="8890" b="9525"/>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48"/>
                    <a:stretch>
                      <a:fillRect/>
                    </a:stretch>
                  </pic:blipFill>
                  <pic:spPr>
                    <a:xfrm>
                      <a:off x="0" y="0"/>
                      <a:ext cx="3877310" cy="5686425"/>
                    </a:xfrm>
                    <a:prstGeom prst="rect">
                      <a:avLst/>
                    </a:prstGeom>
                    <a:noFill/>
                    <a:ln>
                      <a:noFill/>
                    </a:ln>
                  </pic:spPr>
                </pic:pic>
              </a:graphicData>
            </a:graphic>
          </wp:inline>
        </w:drawing>
      </w:r>
    </w:p>
    <w:p>
      <w:pPr>
        <w:widowControl/>
        <w:ind w:firstLine="0" w:firstLineChars="0"/>
        <w:jc w:val="center"/>
        <w:rPr>
          <w:rFonts w:eastAsia="黑体" w:cs="Times New Roman"/>
          <w:color w:val="000000"/>
          <w:kern w:val="0"/>
          <w:sz w:val="24"/>
          <w:lang w:bidi="ar"/>
        </w:rPr>
      </w:pPr>
      <w:r>
        <w:rPr>
          <w:rFonts w:eastAsia="黑体" w:cs="Times New Roman"/>
          <w:color w:val="000000"/>
          <w:kern w:val="0"/>
          <w:sz w:val="24"/>
          <w:lang w:bidi="ar"/>
        </w:rPr>
        <w:t>图</w:t>
      </w:r>
      <w:r>
        <w:rPr>
          <w:rFonts w:hint="eastAsia" w:eastAsia="黑体" w:cs="Times New Roman"/>
          <w:color w:val="000000"/>
          <w:kern w:val="0"/>
          <w:sz w:val="24"/>
          <w:lang w:bidi="ar"/>
        </w:rPr>
        <w:t>12</w:t>
      </w:r>
      <w:r>
        <w:rPr>
          <w:rFonts w:eastAsia="黑体" w:cs="Times New Roman"/>
          <w:color w:val="000000"/>
          <w:kern w:val="0"/>
          <w:sz w:val="24"/>
          <w:lang w:bidi="ar"/>
        </w:rPr>
        <w:t>-</w:t>
      </w:r>
      <w:r>
        <w:rPr>
          <w:rFonts w:hint="eastAsia" w:eastAsia="黑体" w:cs="Times New Roman"/>
          <w:color w:val="000000"/>
          <w:kern w:val="0"/>
          <w:sz w:val="24"/>
          <w:lang w:bidi="ar"/>
        </w:rPr>
        <w:t>1</w:t>
      </w:r>
      <w:r>
        <w:rPr>
          <w:rFonts w:eastAsia="黑体" w:cs="Times New Roman"/>
          <w:color w:val="000000"/>
          <w:kern w:val="0"/>
          <w:sz w:val="24"/>
          <w:lang w:bidi="ar"/>
        </w:rPr>
        <w:t xml:space="preserve"> </w:t>
      </w:r>
      <w:r>
        <w:rPr>
          <w:rFonts w:hint="eastAsia" w:eastAsia="黑体" w:cs="Times New Roman"/>
          <w:color w:val="000000"/>
          <w:kern w:val="0"/>
          <w:sz w:val="24"/>
          <w:lang w:bidi="ar"/>
        </w:rPr>
        <w:t>湿地公园管理处办公楼结构安全性检测鉴定书</w:t>
      </w:r>
    </w:p>
    <w:p>
      <w:pPr>
        <w:ind w:firstLine="560"/>
        <w:rPr>
          <w:rFonts w:cs="Times New Roman"/>
        </w:rPr>
      </w:pPr>
      <w:r>
        <w:rPr>
          <w:rFonts w:hint="eastAsia" w:cs="Times New Roman"/>
        </w:rPr>
        <w:t>（2）配套设备购置</w:t>
      </w:r>
    </w:p>
    <w:p>
      <w:pPr>
        <w:ind w:firstLine="560"/>
        <w:rPr>
          <w:rFonts w:cs="Times New Roman"/>
        </w:rPr>
      </w:pPr>
      <w:r>
        <w:rPr>
          <w:rFonts w:hint="eastAsia" w:cs="Times New Roman"/>
        </w:rPr>
        <w:t>湿地公园管理处设备配置主要包括管理处办公桌椅、会议桌椅、电脑、打印机、传真机、扫描仪等1套；购置管理用车1辆。</w:t>
      </w:r>
    </w:p>
    <w:p>
      <w:pPr>
        <w:pStyle w:val="6"/>
        <w:numPr>
          <w:ilvl w:val="2"/>
          <w:numId w:val="80"/>
        </w:numPr>
      </w:pPr>
      <w:bookmarkStart w:id="635" w:name="_Toc113925869"/>
      <w:bookmarkStart w:id="636" w:name="_Toc113925617"/>
      <w:r>
        <w:rPr>
          <w:rFonts w:hint="eastAsia"/>
        </w:rPr>
        <w:t>保护管理站建设规划</w:t>
      </w:r>
      <w:bookmarkEnd w:id="635"/>
      <w:bookmarkEnd w:id="636"/>
    </w:p>
    <w:p>
      <w:pPr>
        <w:ind w:firstLine="560"/>
        <w:rPr>
          <w:rFonts w:cs="Times New Roman"/>
        </w:rPr>
      </w:pPr>
      <w:r>
        <w:rPr>
          <w:rFonts w:hint="eastAsia" w:cs="Times New Roman"/>
        </w:rPr>
        <w:t>（1）保护管理站</w:t>
      </w:r>
    </w:p>
    <w:p>
      <w:pPr>
        <w:ind w:firstLine="560"/>
        <w:rPr>
          <w:rFonts w:cs="Times New Roman"/>
        </w:rPr>
      </w:pPr>
      <w:r>
        <w:rPr>
          <w:rFonts w:hint="eastAsia" w:cs="Times New Roman"/>
        </w:rPr>
        <w:t>目前湿地公园已经建设完成了1个保护管理站，根据湿地公园管理需要，本期规划在维新镇、乐天岛、月光岛和磨市镇保护各新建1处保护管理站，每个保护管理站建筑占地面积800平方米，考虑湿地巡护人员值班需求，且保护管理站位置偏远，每个保护管理站配套建设1处附属用房，建筑占地面积200平方米，满足湿地巡护人员值班住宿需求。</w:t>
      </w:r>
    </w:p>
    <w:p>
      <w:pPr>
        <w:ind w:firstLine="560"/>
        <w:rPr>
          <w:rFonts w:cs="Times New Roman"/>
        </w:rPr>
      </w:pPr>
      <w:r>
        <w:rPr>
          <w:rFonts w:hint="eastAsia" w:cs="Times New Roman"/>
        </w:rPr>
        <w:t>（2）配套设备购置</w:t>
      </w:r>
    </w:p>
    <w:p>
      <w:pPr>
        <w:ind w:firstLine="560"/>
        <w:rPr>
          <w:rFonts w:cs="Times New Roman"/>
        </w:rPr>
      </w:pPr>
      <w:r>
        <w:rPr>
          <w:rFonts w:hint="eastAsia" w:cs="Times New Roman"/>
        </w:rPr>
        <w:t>规划为每个保护管理站购置管护设备1套，包括：办公设备</w:t>
      </w:r>
      <w:r>
        <w:rPr>
          <w:rFonts w:cs="Times New Roman"/>
        </w:rPr>
        <w:t>1</w:t>
      </w:r>
      <w:r>
        <w:rPr>
          <w:rFonts w:hint="eastAsia" w:cs="Times New Roman"/>
        </w:rPr>
        <w:t>套（包括办公桌椅、电脑、打印机、复印机、传真机、扫描仪等）、管护用车</w:t>
      </w:r>
      <w:r>
        <w:rPr>
          <w:rFonts w:cs="Times New Roman"/>
        </w:rPr>
        <w:t>1</w:t>
      </w:r>
      <w:r>
        <w:rPr>
          <w:rFonts w:hint="eastAsia" w:cs="Times New Roman"/>
        </w:rPr>
        <w:t>辆、巡护设备</w:t>
      </w:r>
      <w:r>
        <w:rPr>
          <w:rFonts w:cs="Times New Roman"/>
        </w:rPr>
        <w:t>1</w:t>
      </w:r>
      <w:r>
        <w:rPr>
          <w:rFonts w:hint="eastAsia" w:cs="Times New Roman"/>
        </w:rPr>
        <w:t>套。</w:t>
      </w:r>
    </w:p>
    <w:p>
      <w:pPr>
        <w:pStyle w:val="6"/>
        <w:numPr>
          <w:ilvl w:val="2"/>
          <w:numId w:val="80"/>
        </w:numPr>
      </w:pPr>
      <w:bookmarkStart w:id="637" w:name="_Toc113925618"/>
      <w:bookmarkStart w:id="638" w:name="_Toc113925870"/>
      <w:r>
        <w:rPr>
          <w:rFonts w:hint="eastAsia"/>
        </w:rPr>
        <w:t>信息管理建设</w:t>
      </w:r>
      <w:bookmarkEnd w:id="637"/>
      <w:bookmarkEnd w:id="638"/>
    </w:p>
    <w:p>
      <w:pPr>
        <w:ind w:firstLine="560"/>
        <w:rPr>
          <w:rFonts w:cs="Times New Roman"/>
        </w:rPr>
      </w:pPr>
      <w:r>
        <w:rPr>
          <w:rFonts w:hint="eastAsia" w:cs="Times New Roman"/>
        </w:rPr>
        <w:t>规划以计算机技术、地理信息系统技术和网络技术的组装运用为工作重点，建立先进的综合管理信息系统，实现信息资源共享和信息服务社会化，从而实现湿地公园信息管理的网络化、规范化和办公自动化、政务公开化和办公无纸化。同时，为湿地公园的保护、监测、宣教和管理提供有效服务，并为公众提供一个开发、共享的交流平台。</w:t>
      </w:r>
    </w:p>
    <w:p>
      <w:pPr>
        <w:ind w:firstLine="560"/>
        <w:rPr>
          <w:rFonts w:cs="Times New Roman"/>
        </w:rPr>
      </w:pPr>
      <w:r>
        <w:rPr>
          <w:rFonts w:hint="eastAsia" w:cs="Times New Roman"/>
        </w:rPr>
        <w:t>信息管理建设主要包括硬件建设和软件建设两个方面。其中：硬件建设包括微机机房建设和网络建设，软件建设包括技术人员的培养、管理信息系统软件的开发等。</w:t>
      </w:r>
    </w:p>
    <w:p>
      <w:pPr>
        <w:ind w:firstLine="560"/>
        <w:rPr>
          <w:rFonts w:cs="Times New Roman"/>
        </w:rPr>
      </w:pPr>
      <w:r>
        <w:rPr>
          <w:rFonts w:hint="eastAsia" w:cs="Times New Roman"/>
        </w:rPr>
        <w:t>（</w:t>
      </w:r>
      <w:r>
        <w:rPr>
          <w:rFonts w:cs="Times New Roman"/>
        </w:rPr>
        <w:t>1</w:t>
      </w:r>
      <w:r>
        <w:rPr>
          <w:rFonts w:hint="eastAsia" w:cs="Times New Roman"/>
        </w:rPr>
        <w:t xml:space="preserve">）基础数据库及分析系统 </w:t>
      </w:r>
    </w:p>
    <w:p>
      <w:pPr>
        <w:ind w:firstLine="560"/>
        <w:rPr>
          <w:rFonts w:cs="Times New Roman"/>
        </w:rPr>
      </w:pPr>
      <w:r>
        <w:rPr>
          <w:rFonts w:hint="eastAsia" w:cs="Times New Roman"/>
        </w:rPr>
        <w:t>建立专门的湿地公园基础数据库1套，包括自然条件数据库、社会经济条件数据库、湿地监测数据库、科普宣教数据库、生态旅游数据库等，为系统开发提供基本数据。</w:t>
      </w:r>
    </w:p>
    <w:p>
      <w:pPr>
        <w:ind w:firstLine="560"/>
        <w:rPr>
          <w:rFonts w:cs="Times New Roman"/>
        </w:rPr>
      </w:pPr>
      <w:r>
        <w:rPr>
          <w:rFonts w:hint="eastAsia" w:cs="Times New Roman"/>
        </w:rPr>
        <w:t>（</w:t>
      </w:r>
      <w:r>
        <w:rPr>
          <w:rFonts w:cs="Times New Roman"/>
        </w:rPr>
        <w:t>2</w:t>
      </w:r>
      <w:r>
        <w:rPr>
          <w:rFonts w:hint="eastAsia" w:cs="Times New Roman"/>
        </w:rPr>
        <w:t xml:space="preserve">）系统开发 </w:t>
      </w:r>
    </w:p>
    <w:p>
      <w:pPr>
        <w:ind w:firstLine="560"/>
        <w:rPr>
          <w:rFonts w:cs="Times New Roman"/>
        </w:rPr>
      </w:pPr>
      <w:r>
        <w:rPr>
          <w:rFonts w:hint="eastAsia" w:cs="Times New Roman"/>
        </w:rPr>
        <w:t xml:space="preserve">通过建立数据库，开发输入、编辑、更新、查询、统计分析、输出等功能，实现对项目区信息动态的综合管理。 </w:t>
      </w:r>
    </w:p>
    <w:p>
      <w:pPr>
        <w:ind w:firstLine="560"/>
        <w:rPr>
          <w:rFonts w:cs="Times New Roman"/>
        </w:rPr>
      </w:pPr>
      <w:r>
        <w:rPr>
          <w:rFonts w:hint="eastAsia" w:cs="Times New Roman"/>
        </w:rPr>
        <w:t>（</w:t>
      </w:r>
      <w:r>
        <w:rPr>
          <w:rFonts w:cs="Times New Roman"/>
        </w:rPr>
        <w:t>3</w:t>
      </w:r>
      <w:r>
        <w:rPr>
          <w:rFonts w:hint="eastAsia" w:cs="Times New Roman"/>
        </w:rPr>
        <w:t>）系统建设</w:t>
      </w:r>
    </w:p>
    <w:p>
      <w:pPr>
        <w:ind w:firstLine="560"/>
        <w:rPr>
          <w:rFonts w:cs="Times New Roman"/>
        </w:rPr>
      </w:pPr>
      <w:r>
        <w:rPr>
          <w:rFonts w:hint="eastAsia" w:cs="Times New Roman"/>
        </w:rPr>
        <w:t xml:space="preserve">进行合理的硬件、软件、网络和设备配置。 </w:t>
      </w:r>
    </w:p>
    <w:p>
      <w:pPr>
        <w:pStyle w:val="5"/>
        <w:numPr>
          <w:ilvl w:val="1"/>
          <w:numId w:val="80"/>
        </w:numPr>
        <w:spacing w:before="197"/>
      </w:pPr>
      <w:bookmarkStart w:id="639" w:name="_Toc3745"/>
      <w:bookmarkStart w:id="640" w:name="_Toc113925619"/>
      <w:bookmarkStart w:id="641" w:name="_Toc114084684"/>
      <w:bookmarkStart w:id="642" w:name="_Toc5662"/>
      <w:bookmarkStart w:id="643" w:name="_Toc113925871"/>
      <w:bookmarkStart w:id="644" w:name="_Toc117114414"/>
      <w:r>
        <w:rPr>
          <w:rFonts w:hint="eastAsia"/>
        </w:rPr>
        <w:t>保护管理能力建设规划</w:t>
      </w:r>
      <w:bookmarkEnd w:id="639"/>
      <w:bookmarkEnd w:id="640"/>
      <w:bookmarkEnd w:id="641"/>
      <w:bookmarkEnd w:id="642"/>
      <w:bookmarkEnd w:id="643"/>
      <w:bookmarkEnd w:id="644"/>
    </w:p>
    <w:p>
      <w:pPr>
        <w:ind w:firstLine="560"/>
        <w:rPr>
          <w:rFonts w:cs="Times New Roman"/>
        </w:rPr>
      </w:pPr>
      <w:r>
        <w:rPr>
          <w:rFonts w:hint="eastAsia" w:cs="Times New Roman"/>
        </w:rPr>
        <w:t>湿地公园实行湿地公园管理处→湿地保护管理站二级管理模式。保护管理能力建设主要包括以下方面：</w:t>
      </w:r>
    </w:p>
    <w:p>
      <w:pPr>
        <w:ind w:firstLine="560"/>
        <w:rPr>
          <w:rFonts w:cs="Times New Roman"/>
        </w:rPr>
      </w:pPr>
      <w:r>
        <w:rPr>
          <w:rFonts w:hint="eastAsia" w:cs="Times New Roman"/>
        </w:rPr>
        <w:t>（1）建立湿地公园完善的湿地保护管理体系。</w:t>
      </w:r>
    </w:p>
    <w:p>
      <w:pPr>
        <w:ind w:firstLine="560"/>
        <w:rPr>
          <w:rFonts w:cs="Times New Roman"/>
        </w:rPr>
      </w:pPr>
      <w:r>
        <w:rPr>
          <w:rFonts w:hint="eastAsia" w:cs="Times New Roman"/>
        </w:rPr>
        <w:t>（2）建立湿地公园完善的湿地保护管理基础设施。</w:t>
      </w:r>
    </w:p>
    <w:p>
      <w:pPr>
        <w:ind w:firstLine="560"/>
        <w:rPr>
          <w:rFonts w:cs="Times New Roman"/>
        </w:rPr>
      </w:pPr>
      <w:r>
        <w:rPr>
          <w:rFonts w:hint="eastAsia" w:cs="Times New Roman"/>
        </w:rPr>
        <w:t>（3）配备专业齐全、业务过硬的湿地公园保护管理队伍。</w:t>
      </w:r>
    </w:p>
    <w:p>
      <w:pPr>
        <w:pStyle w:val="6"/>
        <w:numPr>
          <w:ilvl w:val="2"/>
          <w:numId w:val="81"/>
        </w:numPr>
      </w:pPr>
      <w:bookmarkStart w:id="645" w:name="_Toc113925872"/>
      <w:bookmarkStart w:id="646" w:name="_Toc113925620"/>
      <w:r>
        <w:rPr>
          <w:rFonts w:hint="eastAsia"/>
        </w:rPr>
        <w:t>巡护监测网络建设</w:t>
      </w:r>
      <w:bookmarkEnd w:id="645"/>
      <w:bookmarkEnd w:id="646"/>
    </w:p>
    <w:p>
      <w:pPr>
        <w:ind w:firstLine="560"/>
        <w:rPr>
          <w:rFonts w:cs="Times New Roman"/>
        </w:rPr>
      </w:pPr>
      <w:r>
        <w:rPr>
          <w:rFonts w:hint="eastAsia" w:cs="Times New Roman"/>
        </w:rPr>
        <w:t>日常巡护工作是确保湿地公园内资源和环境质量的必要手段，野外巡护既可以防止、制止偷猎盗捕案件的发生，也可以由巡护人员完成一些调查表格，收集日常的野生动植物和人为活动的情况，对这些数据进行分析整理后，可以得到野生动植物分布、人为活动强度分布等科研和管理方面的重要信息，从而制定相应的科研计划和管理措施，加强对问题地段的管护。</w:t>
      </w:r>
    </w:p>
    <w:p>
      <w:pPr>
        <w:ind w:firstLine="560"/>
        <w:rPr>
          <w:rFonts w:cs="Times New Roman"/>
        </w:rPr>
      </w:pPr>
      <w:r>
        <w:rPr>
          <w:rFonts w:hint="eastAsia" w:cs="Times New Roman"/>
        </w:rPr>
        <w:t>在巡护路线的设计上，应考虑路线巡护区域的代表性，湿地公园内典型的植被、生境都要尽可能涉及到，每条巡护路线应尽可能经过该区域的所有生境类型。同时考虑到巡护员的后勤问题，应尽量满足路线可当日往返的要求。该项目的巡护道路应尽量同公园的线路结合布置。</w:t>
      </w:r>
    </w:p>
    <w:p>
      <w:pPr>
        <w:pStyle w:val="6"/>
        <w:numPr>
          <w:ilvl w:val="2"/>
          <w:numId w:val="81"/>
        </w:numPr>
      </w:pPr>
      <w:bookmarkStart w:id="647" w:name="_Toc113925873"/>
      <w:bookmarkStart w:id="648" w:name="_Toc113925621"/>
      <w:r>
        <w:rPr>
          <w:rFonts w:hint="eastAsia"/>
        </w:rPr>
        <w:t>培训与交流</w:t>
      </w:r>
      <w:bookmarkEnd w:id="647"/>
      <w:bookmarkEnd w:id="648"/>
      <w:r>
        <w:t xml:space="preserve"> </w:t>
      </w:r>
    </w:p>
    <w:p>
      <w:pPr>
        <w:ind w:firstLine="560"/>
        <w:rPr>
          <w:rFonts w:cs="Times New Roman"/>
        </w:rPr>
      </w:pPr>
      <w:r>
        <w:rPr>
          <w:rFonts w:hint="eastAsia" w:cs="Times New Roman"/>
        </w:rPr>
        <w:t xml:space="preserve">（1）制定培训计划 </w:t>
      </w:r>
    </w:p>
    <w:p>
      <w:pPr>
        <w:ind w:firstLine="560"/>
        <w:rPr>
          <w:rFonts w:cs="Times New Roman"/>
        </w:rPr>
      </w:pPr>
      <w:r>
        <w:rPr>
          <w:rFonts w:hint="eastAsia" w:cs="Times New Roman"/>
        </w:rPr>
        <w:t xml:space="preserve">根据湿地公园人力资源现状与项目建设对人力资源的需求，以及对未来发展的预测制定培训计划和培训目标，要求计划要有连贯性和针对性。 </w:t>
      </w:r>
    </w:p>
    <w:p>
      <w:pPr>
        <w:ind w:firstLine="560"/>
        <w:rPr>
          <w:rFonts w:cs="Times New Roman"/>
        </w:rPr>
      </w:pPr>
      <w:r>
        <w:rPr>
          <w:rFonts w:hint="eastAsia" w:cs="Times New Roman"/>
        </w:rPr>
        <w:t>（</w:t>
      </w:r>
      <w:r>
        <w:rPr>
          <w:rFonts w:cs="Times New Roman"/>
        </w:rPr>
        <w:t>2</w:t>
      </w:r>
      <w:r>
        <w:rPr>
          <w:rFonts w:hint="eastAsia" w:cs="Times New Roman"/>
        </w:rPr>
        <w:t xml:space="preserve">）培训的主要内容 </w:t>
      </w:r>
    </w:p>
    <w:p>
      <w:pPr>
        <w:ind w:firstLine="560"/>
        <w:rPr>
          <w:rFonts w:cs="Times New Roman"/>
        </w:rPr>
      </w:pPr>
      <w:r>
        <w:rPr>
          <w:rFonts w:hint="eastAsia" w:cs="Times New Roman"/>
        </w:rPr>
        <w:t xml:space="preserve">培训的内容包括国家湿地公园建设相关政策解读和国家湿地公园验收办法解读；湿地恢复技术、方法介绍及案例分析；湿地资源本底调查、监测方法和调查监测成果在湿地公园管理中的应用介绍；湿地公园宣教能力的提升策略；典型案例介绍和现场教学。 </w:t>
      </w:r>
    </w:p>
    <w:p>
      <w:pPr>
        <w:ind w:firstLine="560"/>
        <w:rPr>
          <w:rFonts w:cs="Times New Roman"/>
        </w:rPr>
      </w:pPr>
      <w:r>
        <w:rPr>
          <w:rFonts w:hint="eastAsia" w:cs="Times New Roman"/>
        </w:rPr>
        <w:t>（</w:t>
      </w:r>
      <w:r>
        <w:rPr>
          <w:rFonts w:cs="Times New Roman"/>
        </w:rPr>
        <w:t>3</w:t>
      </w:r>
      <w:r>
        <w:rPr>
          <w:rFonts w:hint="eastAsia" w:cs="Times New Roman"/>
        </w:rPr>
        <w:t xml:space="preserve">）培训的主要方式 </w:t>
      </w:r>
    </w:p>
    <w:p>
      <w:pPr>
        <w:ind w:firstLine="560"/>
        <w:rPr>
          <w:rFonts w:cs="Times New Roman"/>
        </w:rPr>
      </w:pPr>
      <w:r>
        <w:rPr>
          <w:rFonts w:hint="eastAsia" w:cs="Times New Roman"/>
        </w:rPr>
        <w:t xml:space="preserve">讲授法：培训师通过语言表达，系统的向受训者传授知识 </w:t>
      </w:r>
    </w:p>
    <w:p>
      <w:pPr>
        <w:ind w:firstLine="560"/>
        <w:rPr>
          <w:rFonts w:cs="Times New Roman"/>
        </w:rPr>
      </w:pPr>
      <w:r>
        <w:rPr>
          <w:rFonts w:hint="eastAsia" w:cs="Times New Roman"/>
        </w:rPr>
        <w:t>工作轮换法：受训者在预定的时期内变换工作岗位，获得不同岗位的工作经验，用于新进员工。</w:t>
      </w:r>
    </w:p>
    <w:p>
      <w:pPr>
        <w:pStyle w:val="5"/>
        <w:numPr>
          <w:ilvl w:val="1"/>
          <w:numId w:val="81"/>
        </w:numPr>
        <w:spacing w:before="197"/>
      </w:pPr>
      <w:bookmarkStart w:id="649" w:name="_Toc113925874"/>
      <w:bookmarkStart w:id="650" w:name="_Toc117114415"/>
      <w:bookmarkStart w:id="651" w:name="_Toc20737"/>
      <w:bookmarkStart w:id="652" w:name="_Toc113925622"/>
      <w:bookmarkStart w:id="653" w:name="_Toc114084685"/>
      <w:bookmarkStart w:id="654" w:name="_Toc20894"/>
      <w:r>
        <w:rPr>
          <w:rFonts w:hint="eastAsia"/>
        </w:rPr>
        <w:t>社区协调（共管共建）规划</w:t>
      </w:r>
      <w:bookmarkEnd w:id="649"/>
      <w:bookmarkEnd w:id="650"/>
      <w:bookmarkEnd w:id="651"/>
      <w:bookmarkEnd w:id="652"/>
      <w:bookmarkEnd w:id="653"/>
      <w:bookmarkEnd w:id="654"/>
    </w:p>
    <w:p>
      <w:pPr>
        <w:pStyle w:val="6"/>
        <w:numPr>
          <w:ilvl w:val="2"/>
          <w:numId w:val="82"/>
        </w:numPr>
      </w:pPr>
      <w:bookmarkStart w:id="655" w:name="_Toc113925875"/>
      <w:bookmarkStart w:id="656" w:name="_Toc113925623"/>
      <w:r>
        <w:rPr>
          <w:rFonts w:hint="eastAsia"/>
        </w:rPr>
        <w:t>现状</w:t>
      </w:r>
      <w:bookmarkEnd w:id="655"/>
      <w:bookmarkEnd w:id="656"/>
    </w:p>
    <w:p>
      <w:pPr>
        <w:ind w:firstLine="560"/>
        <w:rPr>
          <w:rFonts w:cs="Times New Roman"/>
        </w:rPr>
      </w:pPr>
      <w:r>
        <w:rPr>
          <w:rFonts w:hint="eastAsia" w:cs="Times New Roman"/>
        </w:rPr>
        <w:t>湿地公园试点建设以来，公园与周边社区群众建立了良好的伙伴关系，妥善处理社区群众生产生活与湿地保护的关系，扶持社区发展经济和公益事业，逐步实现产业结构合理调整，取得了良好的成绩。</w:t>
      </w:r>
    </w:p>
    <w:p>
      <w:pPr>
        <w:ind w:firstLine="560"/>
        <w:rPr>
          <w:rFonts w:cs="Times New Roman"/>
        </w:rPr>
      </w:pPr>
      <w:r>
        <w:rPr>
          <w:rFonts w:hint="eastAsia" w:cs="Times New Roman"/>
        </w:rPr>
        <w:t>（1）成立社区共同管理委员会</w:t>
      </w:r>
    </w:p>
    <w:p>
      <w:pPr>
        <w:ind w:firstLine="560"/>
        <w:rPr>
          <w:rFonts w:cs="Times New Roman"/>
        </w:rPr>
      </w:pPr>
      <w:r>
        <w:rPr>
          <w:rFonts w:hint="eastAsia" w:cs="Times New Roman"/>
        </w:rPr>
        <w:t>与湿地公园周边社区天鹅山村等39个村签订社区共管协议，成立社区共管委员会，常年召开专题会议，明确共建目标，落实共建责任，开展共建活动。</w:t>
      </w:r>
    </w:p>
    <w:p>
      <w:pPr>
        <w:ind w:firstLine="560"/>
        <w:rPr>
          <w:rFonts w:cs="Times New Roman"/>
        </w:rPr>
      </w:pPr>
      <w:r>
        <w:rPr>
          <w:rFonts w:hint="eastAsia" w:cs="Times New Roman"/>
        </w:rPr>
        <w:t>（2）对社区居民需求、生产、生活状况进行调查</w:t>
      </w:r>
    </w:p>
    <w:p>
      <w:pPr>
        <w:ind w:firstLine="560"/>
        <w:rPr>
          <w:rFonts w:cs="Times New Roman"/>
        </w:rPr>
      </w:pPr>
      <w:r>
        <w:rPr>
          <w:rFonts w:hint="eastAsia" w:cs="Times New Roman"/>
        </w:rPr>
        <w:t>对湿地公园周边39个村庄展开了调查。调查内容包括年龄结构、文化程度、家庭人口、居民住宅情况、生产生活方式、经济条件、收入情况、对湿地公园的认知度和需求等方面。近年来，在湿地公园的宣传和带动下，启动合作化农业经营模式。同时，社区也不断与湿地公园一起，探索高端、优质、现代农业和有机农业发展途径等。</w:t>
      </w:r>
    </w:p>
    <w:p>
      <w:pPr>
        <w:ind w:firstLine="560"/>
        <w:rPr>
          <w:rFonts w:cs="Times New Roman"/>
        </w:rPr>
      </w:pPr>
      <w:r>
        <w:rPr>
          <w:rFonts w:hint="eastAsia" w:cs="Times New Roman"/>
        </w:rPr>
        <w:t xml:space="preserve">（3）建立社区共管办公室 </w:t>
      </w:r>
    </w:p>
    <w:p>
      <w:pPr>
        <w:ind w:firstLine="560"/>
        <w:rPr>
          <w:rFonts w:cs="Times New Roman"/>
        </w:rPr>
      </w:pPr>
      <w:r>
        <w:rPr>
          <w:rFonts w:hint="eastAsia" w:cs="Times New Roman"/>
        </w:rPr>
        <w:t>仙阳湖国家湿地公园从立足长远出发，因地制宜与社区村民服务中心合署办公，村民服务中心协同湿地公园共同宣传、管理湿地，促进湿地公园区域经济、社会、人口、资源、环境全面协调发展，密切社区关系，调动村民参与社区共管的积极性。</w:t>
      </w:r>
    </w:p>
    <w:p>
      <w:pPr>
        <w:pStyle w:val="6"/>
        <w:numPr>
          <w:ilvl w:val="2"/>
          <w:numId w:val="82"/>
        </w:numPr>
      </w:pPr>
      <w:bookmarkStart w:id="657" w:name="_Toc113925876"/>
      <w:bookmarkStart w:id="658" w:name="_Toc113925624"/>
      <w:r>
        <w:rPr>
          <w:rFonts w:hint="eastAsia"/>
        </w:rPr>
        <w:t>建设思路</w:t>
      </w:r>
      <w:bookmarkEnd w:id="657"/>
      <w:bookmarkEnd w:id="658"/>
    </w:p>
    <w:p>
      <w:pPr>
        <w:ind w:firstLine="560"/>
        <w:rPr>
          <w:rFonts w:cs="Times New Roman"/>
        </w:rPr>
      </w:pPr>
      <w:r>
        <w:rPr>
          <w:rFonts w:hint="eastAsia" w:cs="Times New Roman"/>
        </w:rPr>
        <w:t>为维护仙阳湖国家湿地公园周边社区稳定，进一步改善社区居民生活水平，促进社区协调发展和公园顺利建设与长期运营，社区协调规划应注重以下几个方面：</w:t>
      </w:r>
    </w:p>
    <w:p>
      <w:pPr>
        <w:ind w:firstLine="560"/>
        <w:rPr>
          <w:rFonts w:cs="Times New Roman"/>
        </w:rPr>
      </w:pPr>
      <w:r>
        <w:rPr>
          <w:rFonts w:hint="eastAsia" w:cs="Times New Roman"/>
        </w:rPr>
        <w:t xml:space="preserve">（1）健全完善湿地保护社区共管共建关系 </w:t>
      </w:r>
    </w:p>
    <w:p>
      <w:pPr>
        <w:ind w:firstLine="560"/>
        <w:rPr>
          <w:rFonts w:cs="Times New Roman"/>
        </w:rPr>
      </w:pPr>
      <w:r>
        <w:rPr>
          <w:rFonts w:hint="eastAsia" w:cs="Times New Roman"/>
        </w:rPr>
        <w:t>社区共管委员会的职责是建立切实可行的生态保护和资源利用机制，建立相关的规章制度，规范其行为活动。引导社区居民从资源消耗型向生态经营经济模式转变，规范与引导生态旅游活动；协调湿地保护与社区关系，确保社区在资源可持续利用时与湿地公园保护管理的总体目标不发生冲突。</w:t>
      </w:r>
    </w:p>
    <w:p>
      <w:pPr>
        <w:ind w:firstLine="560"/>
        <w:rPr>
          <w:rFonts w:cs="Times New Roman"/>
        </w:rPr>
      </w:pPr>
      <w:r>
        <w:rPr>
          <w:rFonts w:hint="eastAsia" w:cs="Times New Roman"/>
        </w:rPr>
        <w:t>（2）加强社区共建合作关系，增加劳动力就业</w:t>
      </w:r>
    </w:p>
    <w:p>
      <w:pPr>
        <w:ind w:firstLine="560"/>
        <w:rPr>
          <w:rFonts w:cs="Times New Roman"/>
        </w:rPr>
      </w:pPr>
      <w:r>
        <w:rPr>
          <w:rFonts w:hint="eastAsia" w:cs="Times New Roman"/>
        </w:rPr>
        <w:t>通过协议合作，明确利益关系，吸收更广泛的社区居民参与湿地公园的建设与管理。包括对社区部分年轻女性进行上岗培训，纳入湿地公园导游队伍中；另外将部分村民聘请为保安、保洁、协调员等，提高湿地公园的管理能力。</w:t>
      </w:r>
    </w:p>
    <w:p>
      <w:pPr>
        <w:ind w:firstLine="560"/>
        <w:rPr>
          <w:rFonts w:cs="Times New Roman"/>
        </w:rPr>
      </w:pPr>
      <w:r>
        <w:rPr>
          <w:rFonts w:hint="eastAsia" w:cs="Times New Roman"/>
        </w:rPr>
        <w:t>（3）为社区提供服务和资金支持</w:t>
      </w:r>
    </w:p>
    <w:p>
      <w:pPr>
        <w:ind w:firstLine="560"/>
        <w:rPr>
          <w:rFonts w:cs="Times New Roman"/>
          <w:lang w:val="zh-CN"/>
        </w:rPr>
      </w:pPr>
      <w:r>
        <w:rPr>
          <w:rFonts w:hint="eastAsia" w:cs="Times New Roman"/>
        </w:rPr>
        <w:t>通过提供相关技术、信息和服务，对社区进行援助式的帮助，引导社区开展生态旅游活动，增加社区群众收入。</w:t>
      </w:r>
      <w:r>
        <w:rPr>
          <w:rFonts w:hint="eastAsia" w:cs="Times New Roman"/>
          <w:lang w:val="zh-CN"/>
        </w:rPr>
        <w:t>广开渠道，建立适当的补偿政策制度和社区发展基金，尽可能为社区居民提供优惠信贷和资金扶植。</w:t>
      </w:r>
    </w:p>
    <w:p>
      <w:pPr>
        <w:pStyle w:val="6"/>
        <w:numPr>
          <w:ilvl w:val="2"/>
          <w:numId w:val="82"/>
        </w:numPr>
      </w:pPr>
      <w:bookmarkStart w:id="659" w:name="_Toc113925625"/>
      <w:bookmarkStart w:id="660" w:name="_Toc113925877"/>
      <w:r>
        <w:rPr>
          <w:rFonts w:hint="eastAsia"/>
        </w:rPr>
        <w:t>建设方案</w:t>
      </w:r>
      <w:bookmarkEnd w:id="659"/>
      <w:bookmarkEnd w:id="660"/>
    </w:p>
    <w:p>
      <w:pPr>
        <w:ind w:firstLine="560"/>
        <w:rPr>
          <w:rFonts w:cs="Times New Roman"/>
        </w:rPr>
      </w:pPr>
      <w:r>
        <w:rPr>
          <w:rFonts w:hint="eastAsia" w:cs="Times New Roman"/>
        </w:rPr>
        <w:t xml:space="preserve">（1）大力开展社区培训 </w:t>
      </w:r>
    </w:p>
    <w:p>
      <w:pPr>
        <w:widowControl/>
        <w:ind w:firstLine="560"/>
        <w:jc w:val="left"/>
        <w:rPr>
          <w:rFonts w:cs="Times New Roman"/>
        </w:rPr>
      </w:pPr>
      <w:r>
        <w:rPr>
          <w:rFonts w:hint="eastAsia" w:cs="Times New Roman"/>
        </w:rPr>
        <w:t>①环境保护和湿地保护的教育培训。主要对社区群众进行环境保护和湿地保护相关内容的培训，以提高群众环境保护的思想觉悟，自发地参与到湿地保护中来。</w:t>
      </w:r>
    </w:p>
    <w:p>
      <w:pPr>
        <w:widowControl/>
        <w:ind w:firstLine="560"/>
        <w:jc w:val="left"/>
        <w:rPr>
          <w:rFonts w:cs="Times New Roman"/>
        </w:rPr>
      </w:pPr>
      <w:r>
        <w:rPr>
          <w:rFonts w:hint="eastAsia" w:cs="Times New Roman"/>
        </w:rPr>
        <w:t>②生产经营、管理培训。主要把一些先进的生产经营和管理理念、思路引进给社区群众，以期改变群众的观念，用比较先进的理念、思路来武装社区群众。</w:t>
      </w:r>
    </w:p>
    <w:p>
      <w:pPr>
        <w:widowControl/>
        <w:ind w:firstLine="560"/>
        <w:jc w:val="left"/>
        <w:rPr>
          <w:rFonts w:cs="Times New Roman"/>
        </w:rPr>
      </w:pPr>
      <w:r>
        <w:rPr>
          <w:rFonts w:hint="eastAsia" w:cs="Times New Roman"/>
        </w:rPr>
        <w:t>③生产技术、技能培训。主要把一些先进的、实用的和具体的生产技术、技能传授给社区群众。</w:t>
      </w:r>
    </w:p>
    <w:p>
      <w:pPr>
        <w:widowControl/>
        <w:ind w:firstLine="560"/>
        <w:jc w:val="left"/>
        <w:rPr>
          <w:rFonts w:cs="Times New Roman"/>
        </w:rPr>
      </w:pPr>
      <w:r>
        <w:rPr>
          <w:rFonts w:hint="eastAsia" w:cs="Times New Roman"/>
        </w:rPr>
        <w:t>④旅游培训。主要进行一些必要的生态旅游培训，以创造良好的旅游环境和形成可持续发展的旅游产业。</w:t>
      </w:r>
    </w:p>
    <w:p>
      <w:pPr>
        <w:ind w:firstLine="560"/>
        <w:rPr>
          <w:rFonts w:cs="Times New Roman"/>
        </w:rPr>
      </w:pPr>
      <w:r>
        <w:rPr>
          <w:rFonts w:hint="eastAsia" w:cs="Times New Roman"/>
        </w:rPr>
        <w:t>（2）社区交通条件改善</w:t>
      </w:r>
    </w:p>
    <w:p>
      <w:pPr>
        <w:ind w:firstLine="560"/>
        <w:rPr>
          <w:rFonts w:cs="Times New Roman"/>
        </w:rPr>
      </w:pPr>
      <w:r>
        <w:rPr>
          <w:rFonts w:hint="eastAsia" w:cs="Times New Roman"/>
        </w:rPr>
        <w:t>仙阳湖国家湿地公园周边社区属于山区，社区交通状况一般，虽然通村公路均已修改，但路况不佳，部分通组公路尚未贯通。同时，仙阳湖国家湿地公园周边社区属于库区，对轮渡码头需求很强烈。规划为库区的维新镇等乡镇设置2处轮渡码头，规划对仙阳湖国家湿地公园邻新铺镇、皂市社区、阳泉林场通村公路进行修缮，长度</w:t>
      </w:r>
      <w:r>
        <w:rPr>
          <w:rFonts w:cs="Times New Roman"/>
        </w:rPr>
        <w:t>15</w:t>
      </w:r>
      <w:r>
        <w:rPr>
          <w:rFonts w:hint="eastAsia" w:cs="Times New Roman"/>
        </w:rPr>
        <w:t>公里。规划对北线公路进行提质改造，选用具有景观效果的乔木作为行道树。</w:t>
      </w:r>
    </w:p>
    <w:p>
      <w:pPr>
        <w:pStyle w:val="16"/>
        <w:ind w:firstLine="560"/>
      </w:pPr>
      <w:r>
        <w:rPr>
          <w:rFonts w:hint="eastAsia"/>
        </w:rPr>
        <w:t>（3）保障用水安全</w:t>
      </w:r>
    </w:p>
    <w:p>
      <w:pPr>
        <w:pStyle w:val="16"/>
        <w:ind w:firstLine="560"/>
      </w:pPr>
      <w:r>
        <w:rPr>
          <w:rFonts w:hint="eastAsia"/>
        </w:rPr>
        <w:t>仙阳湖作为以防洪为主，兼有发电、灌溉、航运及旅游等综合利用的大型水利工程，对周边群众的用水安全具有重大意义。考虑到仙阳湖周边的生活用水和灌溉用水短缺的情况，规划在新铺镇规划建设西北灌溉引水工程，在符合《常德市水安全规划》（2020-2035年）、《常德市“十四五”水安全保障规划》前提下，在磨市镇商溪河规划建设取水口1处，保障社区用水安全。</w:t>
      </w:r>
    </w:p>
    <w:p>
      <w:pPr>
        <w:ind w:firstLine="560"/>
        <w:rPr>
          <w:rFonts w:cs="Times New Roman"/>
        </w:rPr>
      </w:pPr>
      <w:r>
        <w:rPr>
          <w:rFonts w:hint="eastAsia" w:cs="Times New Roman"/>
        </w:rPr>
        <w:t>（</w:t>
      </w:r>
      <w:r>
        <w:rPr>
          <w:rFonts w:cs="Times New Roman"/>
        </w:rPr>
        <w:t>4</w:t>
      </w:r>
      <w:r>
        <w:rPr>
          <w:rFonts w:hint="eastAsia" w:cs="Times New Roman"/>
        </w:rPr>
        <w:t>）建立激励机制加强协商共建</w:t>
      </w:r>
    </w:p>
    <w:p>
      <w:pPr>
        <w:ind w:firstLine="560"/>
        <w:rPr>
          <w:rFonts w:cs="Times New Roman"/>
        </w:rPr>
      </w:pPr>
      <w:r>
        <w:rPr>
          <w:rFonts w:hint="eastAsia" w:cs="Times New Roman"/>
        </w:rPr>
        <w:t>创建有效的激励机制，包括经济激励、政治激励和社会激励。经济激励主要为物质奖励，如购买监测设备等；政治激励主要为在合适的条件下，有短工转为固定管护人员；社会激励主要为开展生态旅游时提供劳动力或提供就业机会。</w:t>
      </w:r>
    </w:p>
    <w:p>
      <w:pPr>
        <w:ind w:firstLine="560"/>
        <w:rPr>
          <w:rFonts w:cs="Times New Roman"/>
        </w:rPr>
      </w:pPr>
      <w:r>
        <w:rPr>
          <w:rFonts w:hint="eastAsia" w:cs="Times New Roman"/>
        </w:rPr>
        <w:t>村民参与一些战略性决策的制定，同时有机会参加日常的湿地项目共管工作。主要包括村委干部参与公园道路等基础设施建设、聘用村民为湿地管护人员等。</w:t>
      </w:r>
    </w:p>
    <w:p>
      <w:pPr>
        <w:ind w:firstLine="560"/>
        <w:rPr>
          <w:rFonts w:cs="Times New Roman"/>
        </w:rPr>
      </w:pPr>
      <w:r>
        <w:rPr>
          <w:rFonts w:hint="eastAsia" w:cs="Times New Roman"/>
        </w:rPr>
        <w:t>（</w:t>
      </w:r>
      <w:r>
        <w:rPr>
          <w:rFonts w:cs="Times New Roman"/>
        </w:rPr>
        <w:t>5</w:t>
      </w:r>
      <w:r>
        <w:rPr>
          <w:rFonts w:hint="eastAsia" w:cs="Times New Roman"/>
        </w:rPr>
        <w:t>）社区扶持发展项目</w:t>
      </w:r>
    </w:p>
    <w:p>
      <w:pPr>
        <w:ind w:firstLine="560"/>
        <w:rPr>
          <w:rFonts w:cs="Times New Roman"/>
        </w:rPr>
      </w:pPr>
      <w:r>
        <w:rPr>
          <w:rFonts w:hint="eastAsia" w:cs="Times New Roman"/>
        </w:rPr>
        <w:t>湿地公园生态旅游的发展，必将带动周边社区的交通、餐饮、住宿、购物等相关服务行业的发展，可望成为周边社区经济新的增长点。扶持湿地公园周边开展农家乐、旅游基础设施建设，在为闲散劳力增加就业机会，发展旅游服务业，带动周边村庄第三产业的发展的同时，不给湿地公园增加新的污染源（详见第9章合理利用规划）。</w:t>
      </w:r>
    </w:p>
    <w:p>
      <w:pPr>
        <w:ind w:firstLine="560"/>
        <w:rPr>
          <w:rFonts w:cs="Times New Roman"/>
        </w:rPr>
      </w:pPr>
      <w:r>
        <w:rPr>
          <w:rFonts w:hint="eastAsia" w:cs="Times New Roman"/>
        </w:rPr>
        <w:t>（</w:t>
      </w:r>
      <w:r>
        <w:rPr>
          <w:rFonts w:cs="Times New Roman"/>
        </w:rPr>
        <w:t>6</w:t>
      </w:r>
      <w:r>
        <w:rPr>
          <w:rFonts w:hint="eastAsia" w:cs="Times New Roman"/>
        </w:rPr>
        <w:t>）拓展社区群众就业渠道，巩固脱贫攻坚成果</w:t>
      </w:r>
    </w:p>
    <w:p>
      <w:pPr>
        <w:ind w:firstLine="560"/>
        <w:rPr>
          <w:rFonts w:cs="Times New Roman"/>
        </w:rPr>
      </w:pPr>
      <w:r>
        <w:rPr>
          <w:rFonts w:hint="eastAsia" w:cs="Times New Roman"/>
        </w:rPr>
        <w:t>通</w:t>
      </w:r>
      <w:r>
        <w:rPr>
          <w:rFonts w:hint="eastAsia" w:ascii="仿宋" w:hAnsi="仿宋" w:cs="仿宋"/>
        </w:rPr>
        <w:t>过“公园</w:t>
      </w:r>
      <w:r>
        <w:rPr>
          <w:rFonts w:ascii="仿宋" w:hAnsi="仿宋" w:cs="仿宋"/>
        </w:rPr>
        <w:t>+</w:t>
      </w:r>
      <w:r>
        <w:rPr>
          <w:rFonts w:hint="eastAsia" w:ascii="仿宋" w:hAnsi="仿宋" w:cs="仿宋"/>
        </w:rPr>
        <w:t>公司</w:t>
      </w:r>
      <w:r>
        <w:rPr>
          <w:rFonts w:ascii="仿宋" w:hAnsi="仿宋" w:cs="仿宋"/>
        </w:rPr>
        <w:t>+</w:t>
      </w:r>
      <w:r>
        <w:rPr>
          <w:rFonts w:hint="eastAsia" w:ascii="仿宋" w:hAnsi="仿宋" w:cs="仿宋"/>
        </w:rPr>
        <w:t>村民”合</w:t>
      </w:r>
      <w:r>
        <w:rPr>
          <w:rFonts w:hint="eastAsia" w:cs="Times New Roman"/>
        </w:rPr>
        <w:t>作的模式，积极开展乡村旅游，村民从旅游发展收益中分成；吸纳部分村民到乡村生态旅游服务队伍中，成为乡村旅游的导游、导购、表演者或项目管理者；也可以吸纳部分村民到湿地公园的巡护保护队伍体系中，例如聘请部分村民为生态公益林护林员、湿地公园巡护员、宣教员、科研监测协助员等。</w:t>
      </w:r>
    </w:p>
    <w:p>
      <w:pPr>
        <w:pStyle w:val="5"/>
        <w:numPr>
          <w:ilvl w:val="1"/>
          <w:numId w:val="82"/>
        </w:numPr>
        <w:spacing w:before="197"/>
      </w:pPr>
      <w:bookmarkStart w:id="661" w:name="_Toc616"/>
      <w:bookmarkStart w:id="662" w:name="_Toc10271"/>
      <w:bookmarkStart w:id="663" w:name="_Toc113925878"/>
      <w:bookmarkStart w:id="664" w:name="_Toc113925626"/>
      <w:bookmarkStart w:id="665" w:name="_Toc114084686"/>
      <w:bookmarkStart w:id="666" w:name="_Toc117114416"/>
      <w:r>
        <w:rPr>
          <w:rFonts w:hint="eastAsia"/>
        </w:rPr>
        <w:t>保障措施规划</w:t>
      </w:r>
      <w:bookmarkEnd w:id="661"/>
      <w:bookmarkEnd w:id="662"/>
      <w:bookmarkEnd w:id="663"/>
      <w:bookmarkEnd w:id="664"/>
      <w:bookmarkEnd w:id="665"/>
      <w:bookmarkEnd w:id="666"/>
    </w:p>
    <w:p>
      <w:pPr>
        <w:pStyle w:val="6"/>
        <w:numPr>
          <w:ilvl w:val="2"/>
          <w:numId w:val="83"/>
        </w:numPr>
      </w:pPr>
      <w:bookmarkStart w:id="667" w:name="_Toc113925627"/>
      <w:bookmarkStart w:id="668" w:name="_Toc167838820"/>
      <w:bookmarkStart w:id="669" w:name="_Toc113925879"/>
      <w:r>
        <w:rPr>
          <w:rFonts w:hint="eastAsia"/>
        </w:rPr>
        <w:t>法规政策保障</w:t>
      </w:r>
      <w:bookmarkEnd w:id="667"/>
      <w:bookmarkEnd w:id="668"/>
      <w:bookmarkEnd w:id="669"/>
    </w:p>
    <w:p>
      <w:pPr>
        <w:ind w:firstLine="560"/>
        <w:rPr>
          <w:rFonts w:cs="Times New Roman"/>
        </w:rPr>
      </w:pPr>
      <w:r>
        <w:rPr>
          <w:rFonts w:hint="eastAsia" w:cs="Times New Roman"/>
        </w:rPr>
        <w:t>（1）执行现行的国家与地方相关法律法规</w:t>
      </w:r>
    </w:p>
    <w:p>
      <w:pPr>
        <w:ind w:firstLine="560"/>
        <w:rPr>
          <w:rFonts w:cs="Times New Roman"/>
        </w:rPr>
      </w:pPr>
      <w:r>
        <w:rPr>
          <w:rFonts w:hint="eastAsia" w:cs="Times New Roman"/>
        </w:rPr>
        <w:t>严格执行国家与地方已经出台的相关法律、行政法规、规章及规范性文件、通知、通告以及有关的行动计划、国际公约，做到有法先依，有法必依。</w:t>
      </w:r>
    </w:p>
    <w:p>
      <w:pPr>
        <w:ind w:firstLine="560"/>
        <w:rPr>
          <w:rFonts w:cs="Times New Roman"/>
        </w:rPr>
      </w:pPr>
      <w:r>
        <w:rPr>
          <w:rFonts w:hint="eastAsia" w:cs="Times New Roman"/>
        </w:rPr>
        <w:t>（2）制定湿地公园有关法规</w:t>
      </w:r>
    </w:p>
    <w:p>
      <w:pPr>
        <w:ind w:firstLine="560"/>
        <w:rPr>
          <w:rFonts w:cs="Times New Roman"/>
        </w:rPr>
      </w:pPr>
      <w:r>
        <w:rPr>
          <w:rFonts w:hint="eastAsia" w:cs="Times New Roman"/>
        </w:rPr>
        <w:t>以国家的法律、法规和政策为基础，加强湿地公园建设和管理有关法律法规的制定，实现国家湿地公园</w:t>
      </w:r>
      <w:r>
        <w:rPr>
          <w:rFonts w:hint="eastAsia" w:ascii="仿宋" w:hAnsi="仿宋" w:cs="仿宋"/>
        </w:rPr>
        <w:t>“一园一法”</w:t>
      </w:r>
      <w:r>
        <w:rPr>
          <w:rFonts w:hint="eastAsia" w:cs="Times New Roman"/>
        </w:rPr>
        <w:t>。在2025年前立法完成《湖南石门仙阳湖国家湿地公园管理条例》，制定针对性、科学性、可操作性强的法律法规，作为指导湿地公园运行的地方法规，明确机构设置及功能，制定湿地保护与合理利用的原则与细节。同时有计划地制订长期和中短期计划，根据湿地公园具备的旅游科普、科研等功能统筹制定湿地公园短、中、长期建设的目标与标准。使湿地公园的建设有法可依、有章可循。同时加强执法队伍建设，成立湿地公园执法机构，完善公园安保体系，努力提高执法水平，坚决打击各种违法犯罪活动，实行依法治园，保障湿地公园实现其建设目标。</w:t>
      </w:r>
    </w:p>
    <w:p>
      <w:pPr>
        <w:ind w:firstLine="560"/>
        <w:rPr>
          <w:rFonts w:cs="Times New Roman"/>
        </w:rPr>
      </w:pPr>
      <w:r>
        <w:rPr>
          <w:rFonts w:hint="eastAsia" w:cs="Times New Roman"/>
        </w:rPr>
        <w:t>（3）制定特殊优惠政策，对仙阳湖国家湿地公园建设予以倾斜</w:t>
      </w:r>
    </w:p>
    <w:p>
      <w:pPr>
        <w:ind w:firstLine="560"/>
        <w:rPr>
          <w:rFonts w:cs="Times New Roman"/>
        </w:rPr>
      </w:pPr>
      <w:r>
        <w:rPr>
          <w:rFonts w:hint="eastAsia" w:cs="Times New Roman"/>
        </w:rPr>
        <w:t>国家和地方对自然保护区建设制定了一系列法律、法规、取得了积极的成效。为了进一步加强国家湿地公园的建设和管理，在以现有的自然保护区优惠政策为参考的基础上，拟定以下国家湿地公园优惠政策。</w:t>
      </w:r>
    </w:p>
    <w:p>
      <w:pPr>
        <w:ind w:firstLine="560"/>
        <w:rPr>
          <w:rFonts w:cs="Times New Roman"/>
        </w:rPr>
      </w:pPr>
      <w:r>
        <w:rPr>
          <w:rFonts w:hint="eastAsia" w:cs="Times New Roman"/>
        </w:rPr>
        <w:t>① 扶持国家湿地公园发展政策。各级政府和湿地公园主管部门应在资金和技术方面对保护区予以扶持，使公园尽快建立起自我发展，自我积累的运行机制。</w:t>
      </w:r>
    </w:p>
    <w:p>
      <w:pPr>
        <w:ind w:firstLine="560"/>
        <w:rPr>
          <w:rFonts w:cs="Times New Roman"/>
        </w:rPr>
      </w:pPr>
      <w:r>
        <w:rPr>
          <w:rFonts w:hint="eastAsia" w:cs="Times New Roman"/>
        </w:rPr>
        <w:t>② 改善公园工作人员的工作和生活条件。为吸引和留住人才，有必要提高公园工作人员的待遇，改善其工作和生活条件。</w:t>
      </w:r>
    </w:p>
    <w:p>
      <w:pPr>
        <w:ind w:firstLine="560"/>
        <w:rPr>
          <w:rFonts w:cs="Times New Roman"/>
        </w:rPr>
      </w:pPr>
      <w:r>
        <w:rPr>
          <w:rFonts w:hint="eastAsia" w:cs="Times New Roman"/>
        </w:rPr>
        <w:t>③ 增加科研专项经费。湿地公园的科学研究大多属于基础或应用基础研究范畴，各级政府科委和有关主管部门，不仅要在科研立项方面采取适当向公园倾斜的政策，而且在科研专项经费安排方面应加大投入力度，以有利于公园科研工作的开展。</w:t>
      </w:r>
    </w:p>
    <w:p>
      <w:pPr>
        <w:ind w:firstLine="560"/>
        <w:rPr>
          <w:rFonts w:cs="Times New Roman"/>
        </w:rPr>
      </w:pPr>
      <w:r>
        <w:rPr>
          <w:rFonts w:hint="eastAsia" w:cs="Times New Roman"/>
        </w:rPr>
        <w:t>④ 制定鼓励高新技术引进优先政策。</w:t>
      </w:r>
    </w:p>
    <w:p>
      <w:pPr>
        <w:pStyle w:val="6"/>
        <w:numPr>
          <w:ilvl w:val="2"/>
          <w:numId w:val="83"/>
        </w:numPr>
      </w:pPr>
      <w:bookmarkStart w:id="670" w:name="_Toc113925880"/>
      <w:bookmarkStart w:id="671" w:name="_Toc113925628"/>
      <w:r>
        <w:rPr>
          <w:rFonts w:hint="eastAsia"/>
        </w:rPr>
        <w:t>组织保障</w:t>
      </w:r>
      <w:bookmarkEnd w:id="670"/>
      <w:bookmarkEnd w:id="671"/>
      <w:r>
        <w:t xml:space="preserve"> </w:t>
      </w:r>
    </w:p>
    <w:p>
      <w:pPr>
        <w:ind w:firstLine="560"/>
        <w:rPr>
          <w:rFonts w:cs="Times New Roman"/>
        </w:rPr>
      </w:pPr>
      <w:r>
        <w:rPr>
          <w:rFonts w:hint="eastAsia" w:cs="Times New Roman"/>
        </w:rPr>
        <w:t>县人民政府要把湿地公园建设工作列入议事日程，积极协调部门关系，及时研究解决公园建设中出现的各种问题，并通过分级制定年度或任期目标责任制的方法，把执行规划预期目标作为考核各级干部政绩的主要内容，目标到人，责任到人，一级抓一级，以督促湿地公园主管部门的工作进展和成效。公园管理处要按规划制定详细的年度工作计划，以保证公园建设有条不紊顺利实施。</w:t>
      </w:r>
    </w:p>
    <w:p>
      <w:pPr>
        <w:ind w:firstLine="560"/>
        <w:rPr>
          <w:rFonts w:cs="Times New Roman"/>
        </w:rPr>
      </w:pPr>
      <w:r>
        <w:rPr>
          <w:rFonts w:hint="eastAsia" w:cs="Times New Roman"/>
        </w:rPr>
        <w:t>充分发挥县人大、政协的监督保障作用。实行定期对湿地公园建设工作进行监督检查，督促政府和主管单位认真落实湿地公园发展规划和建设目标。湿地公园主管部门要主动及时向上级汇报反映工作情况，认真接受监督检查，针对监督检查中发现的问题，积极实施整改。同时湿</w:t>
      </w:r>
      <w:r>
        <w:rPr>
          <w:rFonts w:cs="Times New Roman"/>
        </w:rPr>
        <w:t xml:space="preserve"> </w:t>
      </w:r>
      <w:r>
        <w:rPr>
          <w:rFonts w:hint="eastAsia" w:cs="Times New Roman"/>
        </w:rPr>
        <w:t>地公园主管部门也要接受上级主管部门的监督、检查，认真对待上下反馈意见，不断改进工作方法，提高工作质量和成效。</w:t>
      </w:r>
    </w:p>
    <w:p>
      <w:pPr>
        <w:pStyle w:val="6"/>
        <w:numPr>
          <w:ilvl w:val="2"/>
          <w:numId w:val="83"/>
        </w:numPr>
      </w:pPr>
      <w:bookmarkStart w:id="672" w:name="_Toc113925629"/>
      <w:bookmarkStart w:id="673" w:name="_Toc113925881"/>
      <w:r>
        <w:rPr>
          <w:rFonts w:hint="eastAsia"/>
        </w:rPr>
        <w:t>资金保障</w:t>
      </w:r>
      <w:bookmarkEnd w:id="672"/>
      <w:bookmarkEnd w:id="673"/>
      <w:r>
        <w:t xml:space="preserve"> </w:t>
      </w:r>
    </w:p>
    <w:p>
      <w:pPr>
        <w:ind w:firstLine="560"/>
        <w:rPr>
          <w:rFonts w:cs="Times New Roman"/>
        </w:rPr>
      </w:pPr>
      <w:r>
        <w:rPr>
          <w:rFonts w:hint="eastAsia" w:cs="Times New Roman"/>
        </w:rPr>
        <w:t>（</w:t>
      </w:r>
      <w:r>
        <w:rPr>
          <w:rFonts w:cs="Times New Roman"/>
        </w:rPr>
        <w:t>1</w:t>
      </w:r>
      <w:r>
        <w:rPr>
          <w:rFonts w:hint="eastAsia" w:cs="Times New Roman"/>
        </w:rPr>
        <w:t>）争取通过立项，制订地方财政对湿地公园建设资金投入的机制，保障湿地公园建设管理经费的落实，逐步建立以政府投入为主，湿地公园自筹和国内外资助相结合的资金渠道。</w:t>
      </w:r>
    </w:p>
    <w:p>
      <w:pPr>
        <w:ind w:firstLine="560"/>
        <w:rPr>
          <w:rFonts w:cs="Times New Roman"/>
        </w:rPr>
      </w:pPr>
      <w:r>
        <w:rPr>
          <w:rFonts w:hint="eastAsia" w:cs="Times New Roman"/>
        </w:rPr>
        <w:t>（</w:t>
      </w:r>
      <w:r>
        <w:rPr>
          <w:rFonts w:cs="Times New Roman"/>
        </w:rPr>
        <w:t>2</w:t>
      </w:r>
      <w:r>
        <w:rPr>
          <w:rFonts w:hint="eastAsia" w:cs="Times New Roman"/>
        </w:rPr>
        <w:t xml:space="preserve">）加强宣传和制定相关政策，鼓励社会各界积极参与湿地公园的建设，开辟民间融资渠道；广泛开展国际合作，积极争取国际组织和国外民间团体以及世界自然基金会对湿地公园建设的资助。 </w:t>
      </w:r>
    </w:p>
    <w:p>
      <w:pPr>
        <w:ind w:firstLine="560"/>
        <w:rPr>
          <w:rFonts w:cs="Times New Roman"/>
        </w:rPr>
      </w:pPr>
      <w:r>
        <w:rPr>
          <w:rFonts w:hint="eastAsia" w:cs="Times New Roman"/>
        </w:rPr>
        <w:t>（</w:t>
      </w:r>
      <w:r>
        <w:rPr>
          <w:rFonts w:cs="Times New Roman"/>
        </w:rPr>
        <w:t>3</w:t>
      </w:r>
      <w:r>
        <w:rPr>
          <w:rFonts w:hint="eastAsia" w:cs="Times New Roman"/>
        </w:rPr>
        <w:t>）制定灵活可行的政策，创造减税、物质鼓励等优惠条件吸引投资方积极向湿地公园建设工程投资。</w:t>
      </w:r>
    </w:p>
    <w:p>
      <w:pPr>
        <w:pStyle w:val="6"/>
        <w:numPr>
          <w:ilvl w:val="2"/>
          <w:numId w:val="83"/>
        </w:numPr>
      </w:pPr>
      <w:bookmarkStart w:id="674" w:name="_Toc113925882"/>
      <w:bookmarkStart w:id="675" w:name="_Toc113925630"/>
      <w:r>
        <w:rPr>
          <w:rFonts w:hint="eastAsia"/>
        </w:rPr>
        <w:t>人才保障</w:t>
      </w:r>
      <w:bookmarkEnd w:id="674"/>
      <w:bookmarkEnd w:id="675"/>
      <w:r>
        <w:t xml:space="preserve"> </w:t>
      </w:r>
    </w:p>
    <w:p>
      <w:pPr>
        <w:ind w:firstLine="560"/>
        <w:rPr>
          <w:rFonts w:cs="Times New Roman"/>
        </w:rPr>
      </w:pPr>
      <w:r>
        <w:rPr>
          <w:rFonts w:hint="eastAsia" w:cs="Times New Roman"/>
        </w:rPr>
        <w:t>国以才立，政以才治，业以才兴。人才资源是实现经济社会可持续发展的重要资源，为了科学有效地实施湿地公园的建设，把人才作为推进工程建设的关键因素，大力挖掘地区丰富的知识资本、人才资源，努力建设结构合理、素质较高的人才队伍。</w:t>
      </w:r>
    </w:p>
    <w:p>
      <w:pPr>
        <w:ind w:firstLine="560"/>
        <w:rPr>
          <w:rFonts w:cs="Times New Roman"/>
        </w:rPr>
      </w:pPr>
      <w:r>
        <w:rPr>
          <w:rFonts w:hint="eastAsia" w:cs="Times New Roman"/>
        </w:rPr>
        <w:t>（1）培养或引进具有现代经营管理理念、有旅游专业知识、管理协调能力强的高素质的公园管理人才。</w:t>
      </w:r>
    </w:p>
    <w:p>
      <w:pPr>
        <w:ind w:firstLine="560"/>
        <w:rPr>
          <w:rFonts w:cs="Times New Roman"/>
        </w:rPr>
      </w:pPr>
      <w:r>
        <w:rPr>
          <w:rFonts w:hint="eastAsia" w:cs="Times New Roman"/>
        </w:rPr>
        <w:t>（2）建立新型的人才竞争机制，充分发挥公园内每个员工的积极性。竞争上岗，优胜劣汰，让优秀人才脱颖而出。</w:t>
      </w:r>
    </w:p>
    <w:p>
      <w:pPr>
        <w:ind w:firstLine="560"/>
        <w:rPr>
          <w:rFonts w:cs="Times New Roman"/>
        </w:rPr>
      </w:pPr>
      <w:r>
        <w:rPr>
          <w:rFonts w:hint="eastAsia" w:cs="Times New Roman"/>
        </w:rPr>
        <w:t>（3）注意人才的组合效应，公园内不仅要有优秀的综合性管理人才，还要有优秀的专业管理人才。</w:t>
      </w:r>
    </w:p>
    <w:p>
      <w:pPr>
        <w:ind w:firstLine="560"/>
        <w:rPr>
          <w:rFonts w:cs="Times New Roman"/>
        </w:rPr>
      </w:pPr>
      <w:r>
        <w:rPr>
          <w:rFonts w:hint="eastAsia" w:cs="Times New Roman"/>
        </w:rPr>
        <w:t>（4）加强培训，努力提高社区群众的素质，特别要培养他们良好的卫生习惯。</w:t>
      </w:r>
    </w:p>
    <w:p>
      <w:pPr>
        <w:pStyle w:val="6"/>
        <w:numPr>
          <w:ilvl w:val="2"/>
          <w:numId w:val="83"/>
        </w:numPr>
      </w:pPr>
      <w:bookmarkStart w:id="676" w:name="_Toc113925883"/>
      <w:bookmarkStart w:id="677" w:name="_Toc113925631"/>
      <w:r>
        <w:rPr>
          <w:rFonts w:hint="eastAsia"/>
        </w:rPr>
        <w:t>工程管理保障</w:t>
      </w:r>
      <w:bookmarkEnd w:id="676"/>
      <w:bookmarkEnd w:id="677"/>
    </w:p>
    <w:p>
      <w:pPr>
        <w:ind w:firstLine="560"/>
        <w:rPr>
          <w:rFonts w:cs="Times New Roman"/>
        </w:rPr>
      </w:pPr>
      <w:r>
        <w:rPr>
          <w:rFonts w:hint="eastAsia" w:cs="Times New Roman"/>
        </w:rPr>
        <w:t>（1）工程质量管理</w:t>
      </w:r>
    </w:p>
    <w:p>
      <w:pPr>
        <w:ind w:firstLine="560"/>
        <w:rPr>
          <w:rFonts w:cs="Times New Roman"/>
        </w:rPr>
      </w:pPr>
      <w:r>
        <w:rPr>
          <w:rFonts w:hint="eastAsia" w:cs="Times New Roman"/>
        </w:rPr>
        <w:t>① 严格实行建设项目法人制、招投标制和监理制。</w:t>
      </w:r>
    </w:p>
    <w:p>
      <w:pPr>
        <w:ind w:firstLine="560"/>
        <w:rPr>
          <w:rFonts w:cs="Times New Roman"/>
        </w:rPr>
      </w:pPr>
      <w:r>
        <w:rPr>
          <w:rFonts w:hint="eastAsia" w:cs="Times New Roman"/>
        </w:rPr>
        <w:t>② 切实加强工程建设技术管理，从设计到施工须严格执行工程建设技术管理规程。</w:t>
      </w:r>
    </w:p>
    <w:p>
      <w:pPr>
        <w:ind w:firstLine="560"/>
        <w:rPr>
          <w:rFonts w:cs="Times New Roman"/>
        </w:rPr>
      </w:pPr>
      <w:r>
        <w:rPr>
          <w:rFonts w:hint="eastAsia" w:cs="Times New Roman"/>
        </w:rPr>
        <w:t>③ 加强工程建设的监督检查，确保工程建设质量。</w:t>
      </w:r>
    </w:p>
    <w:p>
      <w:pPr>
        <w:ind w:firstLine="560"/>
        <w:rPr>
          <w:rFonts w:cs="Times New Roman"/>
        </w:rPr>
      </w:pPr>
      <w:r>
        <w:rPr>
          <w:rFonts w:hint="eastAsia" w:cs="Times New Roman"/>
        </w:rPr>
        <w:t>④ 建立严格的验收制度，严格按照工程建设程序进行检查验收，并接受上级主管部门的监督。</w:t>
      </w:r>
    </w:p>
    <w:p>
      <w:pPr>
        <w:ind w:firstLine="560"/>
        <w:rPr>
          <w:rFonts w:cs="Times New Roman"/>
        </w:rPr>
      </w:pPr>
      <w:r>
        <w:rPr>
          <w:rFonts w:hint="eastAsia" w:cs="Times New Roman"/>
        </w:rPr>
        <w:t>（2）工程资金管理</w:t>
      </w:r>
    </w:p>
    <w:p>
      <w:pPr>
        <w:ind w:firstLine="560"/>
        <w:rPr>
          <w:rFonts w:cs="Times New Roman"/>
        </w:rPr>
      </w:pPr>
      <w:r>
        <w:rPr>
          <w:rFonts w:hint="eastAsia" w:cs="Times New Roman"/>
        </w:rPr>
        <w:t>① 项目资金使用严格按照湿地公园总体规划报告中专项资金计划执行，并按年度将资金使用计划落实到工程项目。</w:t>
      </w:r>
    </w:p>
    <w:p>
      <w:pPr>
        <w:ind w:firstLine="560"/>
        <w:rPr>
          <w:rFonts w:cs="Times New Roman"/>
        </w:rPr>
      </w:pPr>
      <w:r>
        <w:rPr>
          <w:rFonts w:hint="eastAsia" w:cs="Times New Roman"/>
        </w:rPr>
        <w:t>② 严格执行基本建设财务管理办法，独立设置项目资金专用账户，实行专户储存、专户管理、专款专用和严格的审计制度。</w:t>
      </w:r>
    </w:p>
    <w:p>
      <w:pPr>
        <w:ind w:firstLine="560"/>
        <w:rPr>
          <w:rFonts w:cs="Times New Roman"/>
        </w:rPr>
      </w:pPr>
      <w:r>
        <w:rPr>
          <w:rFonts w:hint="eastAsia" w:cs="Times New Roman"/>
        </w:rPr>
        <w:t>③ 加强资金管理，及时编制财务报告，定期接受主管部门的财务监督。</w:t>
      </w:r>
    </w:p>
    <w:p>
      <w:pPr>
        <w:ind w:firstLine="560"/>
        <w:rPr>
          <w:rFonts w:cs="Times New Roman"/>
        </w:rPr>
      </w:pPr>
      <w:r>
        <w:rPr>
          <w:rFonts w:hint="eastAsia" w:cs="Times New Roman"/>
        </w:rPr>
        <w:t>（3）工程信息管理</w:t>
      </w:r>
    </w:p>
    <w:p>
      <w:pPr>
        <w:ind w:firstLine="560"/>
        <w:rPr>
          <w:rFonts w:cs="Times New Roman"/>
        </w:rPr>
      </w:pPr>
      <w:r>
        <w:rPr>
          <w:rFonts w:hint="eastAsia" w:cs="Times New Roman"/>
        </w:rPr>
        <w:t>建立项目信息管理数据库，对工程施工进度、质量、资金使用、湿地生态环境动态变化状况等各信息数据及时处理、汇总、分析、反馈。</w:t>
      </w:r>
    </w:p>
    <w:p>
      <w:pPr>
        <w:pStyle w:val="6"/>
        <w:numPr>
          <w:ilvl w:val="2"/>
          <w:numId w:val="83"/>
        </w:numPr>
      </w:pPr>
      <w:bookmarkStart w:id="678" w:name="_Toc113925884"/>
      <w:bookmarkStart w:id="679" w:name="_Toc113925632"/>
      <w:r>
        <w:rPr>
          <w:rFonts w:hint="eastAsia"/>
        </w:rPr>
        <w:t>宣传保障</w:t>
      </w:r>
      <w:bookmarkEnd w:id="678"/>
      <w:bookmarkEnd w:id="679"/>
    </w:p>
    <w:p>
      <w:pPr>
        <w:ind w:firstLine="560"/>
        <w:rPr>
          <w:rFonts w:cs="Times New Roman"/>
        </w:rPr>
      </w:pPr>
      <w:r>
        <w:rPr>
          <w:rFonts w:hint="eastAsia" w:cs="Times New Roman"/>
        </w:rPr>
        <w:t>湿地公园的建设是一项社会性、群众性及公益性很强的工作，只有引起社会各界的重视和公众的参与才能搞好。要把加强宣传、提高全社会的保护和参与意识作为湿地公园建设的首要任务来抓，积极发挥各种自然保护组织和团体在宣传方面的作用，调动社会各界参与到湿地公园的建设和保护事业中来；充分利用新闻媒体，大力宣传湿地公园建设的重要意义，宣传国家的有关政策法规；举办各种宣传活动，扩大社会影响，树立公众的保护和参与意识。同时，通过广泛深入的宣传教育，提高干部职工和当地群众对湿地公园建设的重要性和必要性的认识，赢得人们群众的理解和支持。</w:t>
      </w:r>
    </w:p>
    <w:p>
      <w:pPr>
        <w:pStyle w:val="6"/>
        <w:numPr>
          <w:ilvl w:val="2"/>
          <w:numId w:val="83"/>
        </w:numPr>
      </w:pPr>
      <w:bookmarkStart w:id="680" w:name="_Toc113925885"/>
      <w:bookmarkStart w:id="681" w:name="_Toc113925633"/>
      <w:r>
        <w:rPr>
          <w:rFonts w:hint="eastAsia"/>
        </w:rPr>
        <w:t>管理保障</w:t>
      </w:r>
      <w:bookmarkEnd w:id="680"/>
      <w:bookmarkEnd w:id="681"/>
    </w:p>
    <w:p>
      <w:pPr>
        <w:ind w:firstLine="560"/>
        <w:rPr>
          <w:rFonts w:cs="Times New Roman"/>
        </w:rPr>
      </w:pPr>
      <w:r>
        <w:rPr>
          <w:rFonts w:hint="eastAsia" w:cs="Times New Roman"/>
        </w:rPr>
        <w:t>（1）完善制度和强化依法行政管理</w:t>
      </w:r>
    </w:p>
    <w:p>
      <w:pPr>
        <w:ind w:firstLine="560"/>
        <w:rPr>
          <w:rFonts w:cs="Times New Roman"/>
        </w:rPr>
      </w:pPr>
      <w:r>
        <w:rPr>
          <w:rFonts w:hint="eastAsia" w:cs="Times New Roman"/>
        </w:rPr>
        <w:t>① 在国家和地方现有的有关法律法规的基础上，制定湿地公园保护法规，使湿地公园各项工作纳入法制化轨道，进一步明确责任，做到有法可依，有章可循；加强执法队伍的建设，加强执法人员的培训，进一步加强法制宣传，定期对社区群众进行普法教育，坚决杜绝违法事件的发生。</w:t>
      </w:r>
    </w:p>
    <w:p>
      <w:pPr>
        <w:ind w:firstLine="560"/>
        <w:rPr>
          <w:rFonts w:cs="Times New Roman"/>
        </w:rPr>
      </w:pPr>
      <w:r>
        <w:rPr>
          <w:rFonts w:hint="eastAsia" w:cs="Times New Roman"/>
        </w:rPr>
        <w:t>② 强化执法队伍建设，加强对执法人员的业务培训，提高执法人员素质和执法水平。</w:t>
      </w:r>
    </w:p>
    <w:p>
      <w:pPr>
        <w:ind w:firstLine="560"/>
        <w:rPr>
          <w:rFonts w:cs="Times New Roman"/>
        </w:rPr>
      </w:pPr>
      <w:r>
        <w:rPr>
          <w:rFonts w:hint="eastAsia" w:cs="Times New Roman"/>
        </w:rPr>
        <w:t>③ 加强环境监督管理，建立对主要保护对象和湿地公园环境质量、自然景观、动植物群落的监测、评价和预测系统，及时提出评价预测报告和改进恢复措施。</w:t>
      </w:r>
    </w:p>
    <w:p>
      <w:pPr>
        <w:ind w:firstLine="560"/>
        <w:rPr>
          <w:rFonts w:cs="Times New Roman"/>
        </w:rPr>
      </w:pPr>
      <w:r>
        <w:rPr>
          <w:rFonts w:hint="eastAsia" w:cs="Times New Roman"/>
        </w:rPr>
        <w:t>（2）加强和发展社区共管</w:t>
      </w:r>
    </w:p>
    <w:p>
      <w:pPr>
        <w:ind w:firstLine="560"/>
        <w:rPr>
          <w:rFonts w:cs="Times New Roman"/>
        </w:rPr>
      </w:pPr>
      <w:r>
        <w:rPr>
          <w:rFonts w:hint="eastAsia" w:cs="Times New Roman"/>
        </w:rPr>
        <w:t>社区共管是湿地公园建设与管理十分重要的组成部分，没有周边群众的参与和支持，保护湿地生态环境与生物多样性就只能是一句空话，可见加强和发展社区共管是实现湿地公园有效管理的重要途径。</w:t>
      </w:r>
    </w:p>
    <w:p>
      <w:pPr>
        <w:ind w:firstLine="560"/>
        <w:rPr>
          <w:rFonts w:cs="Times New Roman"/>
        </w:rPr>
      </w:pPr>
      <w:r>
        <w:rPr>
          <w:rFonts w:hint="eastAsia" w:cs="Times New Roman"/>
        </w:rPr>
        <w:t>① 建立完善社区共建共管领导小组</w:t>
      </w:r>
    </w:p>
    <w:p>
      <w:pPr>
        <w:ind w:firstLine="560"/>
        <w:rPr>
          <w:rFonts w:cs="Times New Roman"/>
        </w:rPr>
      </w:pPr>
      <w:r>
        <w:rPr>
          <w:rFonts w:hint="eastAsia" w:cs="Times New Roman"/>
        </w:rPr>
        <w:t>社区共建共管领导小组根据职责组织指挥、协调社区区管工作，选择共管项目，落实资金，检查、监督工作情况。</w:t>
      </w:r>
    </w:p>
    <w:p>
      <w:pPr>
        <w:ind w:firstLine="560"/>
        <w:rPr>
          <w:rFonts w:cs="Times New Roman"/>
        </w:rPr>
      </w:pPr>
      <w:r>
        <w:rPr>
          <w:rFonts w:hint="eastAsia" w:cs="Times New Roman"/>
        </w:rPr>
        <w:t>② 社区共管的方式</w:t>
      </w:r>
    </w:p>
    <w:p>
      <w:pPr>
        <w:ind w:firstLine="560"/>
        <w:rPr>
          <w:rFonts w:cs="Times New Roman"/>
        </w:rPr>
      </w:pPr>
      <w:r>
        <w:rPr>
          <w:rFonts w:hint="eastAsia" w:cs="Times New Roman"/>
        </w:rPr>
        <w:t>——制定社区共管办法，使之制度化；</w:t>
      </w:r>
    </w:p>
    <w:p>
      <w:pPr>
        <w:ind w:firstLine="560"/>
        <w:rPr>
          <w:rFonts w:cs="Times New Roman"/>
        </w:rPr>
      </w:pPr>
      <w:r>
        <w:rPr>
          <w:rFonts w:hint="eastAsia" w:cs="Times New Roman"/>
        </w:rPr>
        <w:t>——深入调查，根据公园实际，选择共管项目；</w:t>
      </w:r>
    </w:p>
    <w:p>
      <w:pPr>
        <w:ind w:firstLine="560"/>
        <w:rPr>
          <w:rFonts w:cs="Times New Roman"/>
        </w:rPr>
      </w:pPr>
      <w:r>
        <w:rPr>
          <w:rFonts w:hint="eastAsia" w:cs="Times New Roman"/>
        </w:rPr>
        <w:t>——宣传工作到位，取得湿地公园周边社区群众积极主动的参与；同时，努力争取各级政府的支持和帮助。</w:t>
      </w:r>
    </w:p>
    <w:p>
      <w:pPr>
        <w:ind w:firstLine="560"/>
        <w:rPr>
          <w:rFonts w:cs="Times New Roman"/>
        </w:rPr>
      </w:pPr>
      <w:r>
        <w:rPr>
          <w:rFonts w:hint="eastAsia" w:cs="Times New Roman"/>
        </w:rPr>
        <w:t>（3）注重科学决策</w:t>
      </w:r>
    </w:p>
    <w:p>
      <w:pPr>
        <w:ind w:firstLine="560"/>
        <w:rPr>
          <w:rFonts w:cs="Times New Roman"/>
        </w:rPr>
      </w:pPr>
      <w:r>
        <w:rPr>
          <w:rFonts w:hint="eastAsia" w:cs="Times New Roman"/>
        </w:rPr>
        <w:t>为实现湿地公园建设工程决策科学化、民主化，湿地公园领导班子成员应具相应的文化程度和合理的专业结构，运用科学的手段和方法，分别对各类建设项目进行预测性评估；在管理上，建立科学的指标体系、专家咨询体系和信息交流体系，及时掌握各类信息，保证将现代科学技术融入到决策程序中。</w:t>
      </w:r>
    </w:p>
    <w:p>
      <w:pPr>
        <w:ind w:firstLine="560"/>
        <w:rPr>
          <w:rFonts w:cs="Times New Roman"/>
        </w:rPr>
      </w:pPr>
      <w:r>
        <w:rPr>
          <w:rFonts w:hint="eastAsia" w:cs="Times New Roman"/>
        </w:rPr>
        <w:t>（4）引入先进的管理措施</w:t>
      </w:r>
    </w:p>
    <w:p>
      <w:pPr>
        <w:ind w:firstLine="560"/>
        <w:rPr>
          <w:rFonts w:cs="Times New Roman"/>
        </w:rPr>
      </w:pPr>
      <w:r>
        <w:rPr>
          <w:rFonts w:hint="eastAsia" w:cs="Times New Roman"/>
        </w:rPr>
        <w:t>① 建立目标管理制度、质量管理制度和信息反馈制度，逐步实现管理科学化、信息系统化，提高管理水平。</w:t>
      </w:r>
    </w:p>
    <w:p>
      <w:pPr>
        <w:ind w:firstLine="560"/>
        <w:rPr>
          <w:rFonts w:cs="Times New Roman"/>
        </w:rPr>
      </w:pPr>
      <w:r>
        <w:rPr>
          <w:rFonts w:hint="eastAsia" w:cs="Times New Roman"/>
        </w:rPr>
        <w:t>② 推行项目资本金制、项目法人责任制、招投标制和工程建设监理制。</w:t>
      </w:r>
    </w:p>
    <w:p>
      <w:pPr>
        <w:ind w:firstLine="560"/>
        <w:rPr>
          <w:rFonts w:cs="Times New Roman"/>
        </w:rPr>
      </w:pPr>
      <w:r>
        <w:rPr>
          <w:rFonts w:hint="eastAsia" w:cs="Times New Roman"/>
        </w:rPr>
        <w:t>③ 实行规范化管理，严格按规划立项，按项目管理，按设计施工标准验收。</w:t>
      </w:r>
    </w:p>
    <w:p>
      <w:pPr>
        <w:ind w:firstLine="560"/>
        <w:rPr>
          <w:rFonts w:cs="Times New Roman"/>
        </w:rPr>
      </w:pPr>
      <w:r>
        <w:rPr>
          <w:rFonts w:hint="eastAsia" w:cs="Times New Roman"/>
        </w:rPr>
        <w:t>④ 实行工程项目质量监督和责任追究制度，实行资产流向和使用审计制度，确保国家的投资产生应有的效益。</w:t>
      </w:r>
    </w:p>
    <w:p>
      <w:pPr>
        <w:ind w:firstLine="560"/>
        <w:rPr>
          <w:rFonts w:cs="Times New Roman"/>
        </w:rPr>
      </w:pPr>
      <w:r>
        <w:rPr>
          <w:rFonts w:hint="eastAsia" w:cs="Times New Roman"/>
        </w:rPr>
        <w:t>⑤ 在生产管理中推行以人为本的管理方式，尊重职工和社区群众的意愿与选择，进行协商式的管理，最大限度地发挥人的主观能动性。</w:t>
      </w:r>
    </w:p>
    <w:p>
      <w:pPr>
        <w:ind w:firstLine="560"/>
        <w:rPr>
          <w:rFonts w:cs="Times New Roman"/>
        </w:rPr>
      </w:pPr>
      <w:r>
        <w:rPr>
          <w:rFonts w:hint="eastAsia" w:cs="Times New Roman"/>
        </w:rPr>
        <w:t>⑥ 健全环境影响评价制度，在项目建设前、建设过程中和项目运营后进行环境影响跟踪评价。</w:t>
      </w:r>
    </w:p>
    <w:p>
      <w:pPr>
        <w:pStyle w:val="6"/>
        <w:numPr>
          <w:ilvl w:val="2"/>
          <w:numId w:val="83"/>
        </w:numPr>
      </w:pPr>
      <w:bookmarkStart w:id="682" w:name="_Toc113925634"/>
      <w:bookmarkStart w:id="683" w:name="_Toc113925886"/>
      <w:r>
        <w:rPr>
          <w:rFonts w:hint="eastAsia"/>
        </w:rPr>
        <w:t>安全保障</w:t>
      </w:r>
      <w:bookmarkEnd w:id="682"/>
      <w:bookmarkEnd w:id="683"/>
      <w:r>
        <w:t xml:space="preserve"> </w:t>
      </w:r>
    </w:p>
    <w:p>
      <w:pPr>
        <w:ind w:firstLine="560"/>
        <w:rPr>
          <w:rFonts w:cs="Times New Roman"/>
        </w:rPr>
      </w:pPr>
      <w:r>
        <w:rPr>
          <w:rFonts w:hint="eastAsia" w:cs="Times New Roman"/>
        </w:rPr>
        <w:t xml:space="preserve">构建湿地公园旅游安全信息系统和应急救援系统，湿地公园的游览内容及设施设置需确保游客安全，容易发生意外地段、园路地形险要地段均应设置必要安全防护措施，在游客休憩场所应设置护栏设施。 </w:t>
      </w:r>
    </w:p>
    <w:p>
      <w:pPr>
        <w:ind w:firstLine="560"/>
        <w:rPr>
          <w:rFonts w:cs="Times New Roman"/>
        </w:rPr>
      </w:pPr>
      <w:r>
        <w:rPr>
          <w:rFonts w:hint="eastAsia" w:cs="Times New Roman"/>
        </w:rPr>
        <w:t>同时，对相关工作人员和游客进行水上安全教育宣传，并在水上交通工具上设置警示牌，提醒游客注意水上安全；在湿地公园内成立水上运动救护专业队，配置相应的水上救护设备。</w:t>
      </w:r>
    </w:p>
    <w:p>
      <w:pPr>
        <w:widowControl/>
        <w:ind w:firstLine="560"/>
        <w:jc w:val="left"/>
        <w:rPr>
          <w:rFonts w:eastAsia="宋体" w:cs="Times New Roman"/>
          <w:color w:val="000000"/>
          <w:kern w:val="0"/>
          <w:szCs w:val="28"/>
          <w:lang w:bidi="ar"/>
        </w:rPr>
      </w:pPr>
      <w:r>
        <w:rPr>
          <w:rFonts w:ascii="仿宋" w:hAnsi="仿宋" w:cs="仿宋"/>
          <w:color w:val="000000"/>
          <w:kern w:val="0"/>
          <w:szCs w:val="28"/>
          <w:lang w:bidi="ar"/>
        </w:rPr>
        <w:t>以上规划内容见表</w:t>
      </w:r>
      <w:r>
        <w:rPr>
          <w:rFonts w:hint="eastAsia" w:eastAsia="宋体" w:cs="Times New Roman"/>
          <w:color w:val="000000"/>
          <w:kern w:val="0"/>
          <w:szCs w:val="28"/>
          <w:lang w:bidi="ar"/>
        </w:rPr>
        <w:t>12</w:t>
      </w:r>
      <w:r>
        <w:rPr>
          <w:rFonts w:eastAsia="宋体" w:cs="Times New Roman"/>
          <w:color w:val="000000"/>
          <w:kern w:val="0"/>
          <w:szCs w:val="28"/>
          <w:lang w:bidi="ar"/>
        </w:rPr>
        <w:t>-</w:t>
      </w:r>
      <w:r>
        <w:rPr>
          <w:rFonts w:hint="eastAsia" w:eastAsia="宋体" w:cs="Times New Roman"/>
          <w:color w:val="000000"/>
          <w:kern w:val="0"/>
          <w:szCs w:val="28"/>
          <w:lang w:bidi="ar"/>
        </w:rPr>
        <w:t>2。</w:t>
      </w:r>
    </w:p>
    <w:p>
      <w:pPr>
        <w:pStyle w:val="14"/>
        <w:keepNext/>
        <w:spacing w:before="197" w:after="0" w:afterLines="0"/>
        <w:rPr>
          <w:rFonts w:ascii="黑体" w:hAnsi="黑体" w:cs="黑体"/>
          <w:sz w:val="24"/>
          <w:szCs w:val="24"/>
        </w:rPr>
      </w:pPr>
      <w:r>
        <w:rPr>
          <w:rFonts w:hint="eastAsia" w:ascii="黑体" w:hAnsi="黑体" w:cs="黑体"/>
          <w:sz w:val="24"/>
          <w:szCs w:val="24"/>
        </w:rPr>
        <w:t>仙阳湖国家湿地公园管理规划主要建设项目一览表</w:t>
      </w:r>
    </w:p>
    <w:p>
      <w:pPr>
        <w:spacing w:line="240" w:lineRule="auto"/>
        <w:ind w:firstLine="0" w:firstLineChars="0"/>
        <w:rPr>
          <w:rFonts w:cs="Times New Roman"/>
          <w:sz w:val="21"/>
          <w:szCs w:val="21"/>
        </w:rPr>
      </w:pPr>
      <w:r>
        <w:rPr>
          <w:rFonts w:hint="eastAsia" w:ascii="黑体" w:hAnsi="黑体" w:eastAsia="黑体" w:cs="黑体"/>
          <w:sz w:val="21"/>
          <w:szCs w:val="21"/>
        </w:rPr>
        <w:t>表</w:t>
      </w:r>
      <w:r>
        <w:rPr>
          <w:rFonts w:ascii="黑体" w:hAnsi="黑体" w:eastAsia="黑体" w:cs="黑体"/>
          <w:sz w:val="21"/>
          <w:szCs w:val="21"/>
        </w:rPr>
        <w:fldChar w:fldCharType="begin"/>
      </w:r>
      <w:r>
        <w:rPr>
          <w:rFonts w:ascii="黑体" w:hAnsi="黑体" w:eastAsia="黑体" w:cs="黑体"/>
          <w:sz w:val="21"/>
          <w:szCs w:val="21"/>
        </w:rPr>
        <w:instrText xml:space="preserve"> </w:instrText>
      </w:r>
      <w:r>
        <w:rPr>
          <w:rFonts w:hint="eastAsia" w:ascii="黑体" w:hAnsi="黑体" w:eastAsia="黑体" w:cs="黑体"/>
          <w:sz w:val="21"/>
          <w:szCs w:val="21"/>
        </w:rPr>
        <w:instrText xml:space="preserve">STYLEREF 1 \s</w:instrText>
      </w:r>
      <w:r>
        <w:rPr>
          <w:rFonts w:ascii="黑体" w:hAnsi="黑体" w:eastAsia="黑体" w:cs="黑体"/>
          <w:sz w:val="21"/>
          <w:szCs w:val="21"/>
        </w:rPr>
        <w:instrText xml:space="preserve"> </w:instrText>
      </w:r>
      <w:r>
        <w:rPr>
          <w:rFonts w:ascii="黑体" w:hAnsi="黑体" w:eastAsia="黑体" w:cs="黑体"/>
          <w:sz w:val="21"/>
          <w:szCs w:val="21"/>
        </w:rPr>
        <w:fldChar w:fldCharType="separate"/>
      </w:r>
      <w:r>
        <w:rPr>
          <w:rFonts w:ascii="黑体" w:hAnsi="黑体" w:eastAsia="黑体" w:cs="黑体"/>
          <w:sz w:val="21"/>
          <w:szCs w:val="21"/>
        </w:rPr>
        <w:t>12</w:t>
      </w:r>
      <w:r>
        <w:rPr>
          <w:rFonts w:ascii="黑体" w:hAnsi="黑体" w:eastAsia="黑体" w:cs="黑体"/>
          <w:sz w:val="21"/>
          <w:szCs w:val="21"/>
        </w:rPr>
        <w:fldChar w:fldCharType="end"/>
      </w:r>
      <w:r>
        <w:rPr>
          <w:rFonts w:ascii="黑体" w:hAnsi="黑体" w:eastAsia="黑体" w:cs="黑体"/>
          <w:sz w:val="21"/>
          <w:szCs w:val="21"/>
        </w:rPr>
        <w:t>-</w:t>
      </w:r>
      <w:r>
        <w:rPr>
          <w:rFonts w:ascii="黑体" w:hAnsi="黑体" w:eastAsia="黑体" w:cs="黑体"/>
          <w:sz w:val="21"/>
          <w:szCs w:val="21"/>
        </w:rPr>
        <w:fldChar w:fldCharType="begin"/>
      </w:r>
      <w:r>
        <w:rPr>
          <w:rFonts w:ascii="黑体" w:hAnsi="黑体" w:eastAsia="黑体" w:cs="黑体"/>
          <w:sz w:val="21"/>
          <w:szCs w:val="21"/>
        </w:rPr>
        <w:instrText xml:space="preserve"> </w:instrText>
      </w:r>
      <w:r>
        <w:rPr>
          <w:rFonts w:hint="eastAsia" w:ascii="黑体" w:hAnsi="黑体" w:eastAsia="黑体" w:cs="黑体"/>
          <w:sz w:val="21"/>
          <w:szCs w:val="21"/>
        </w:rPr>
        <w:instrText xml:space="preserve">SEQ 表 \* ARABIC \s 1</w:instrText>
      </w:r>
      <w:r>
        <w:rPr>
          <w:rFonts w:ascii="黑体" w:hAnsi="黑体" w:eastAsia="黑体" w:cs="黑体"/>
          <w:sz w:val="21"/>
          <w:szCs w:val="21"/>
        </w:rPr>
        <w:instrText xml:space="preserve"> </w:instrText>
      </w:r>
      <w:r>
        <w:rPr>
          <w:rFonts w:ascii="黑体" w:hAnsi="黑体" w:eastAsia="黑体" w:cs="黑体"/>
          <w:sz w:val="21"/>
          <w:szCs w:val="21"/>
        </w:rPr>
        <w:fldChar w:fldCharType="separate"/>
      </w:r>
      <w:r>
        <w:rPr>
          <w:rFonts w:ascii="黑体" w:hAnsi="黑体" w:eastAsia="黑体" w:cs="黑体"/>
          <w:sz w:val="21"/>
          <w:szCs w:val="21"/>
        </w:rPr>
        <w:t>1</w:t>
      </w:r>
      <w:r>
        <w:rPr>
          <w:rFonts w:ascii="黑体" w:hAnsi="黑体" w:eastAsia="黑体" w:cs="黑体"/>
          <w:sz w:val="21"/>
          <w:szCs w:val="21"/>
        </w:rPr>
        <w:fldChar w:fldCharType="end"/>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5"/>
        <w:gridCol w:w="875"/>
        <w:gridCol w:w="2141"/>
        <w:gridCol w:w="992"/>
        <w:gridCol w:w="709"/>
        <w:gridCol w:w="1899"/>
        <w:gridCol w:w="783"/>
        <w:gridCol w:w="7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665" w:type="dxa"/>
            <w:vMerge w:val="restart"/>
            <w:vAlign w:val="center"/>
          </w:tcPr>
          <w:p>
            <w:pPr>
              <w:pStyle w:val="44"/>
              <w:rPr>
                <w:rFonts w:eastAsia="仿宋" w:cs="Times New Roman"/>
                <w:szCs w:val="21"/>
              </w:rPr>
            </w:pPr>
            <w:r>
              <w:rPr>
                <w:rFonts w:hint="eastAsia" w:eastAsia="仿宋" w:cs="Times New Roman"/>
                <w:szCs w:val="21"/>
              </w:rPr>
              <w:t>序号</w:t>
            </w:r>
          </w:p>
        </w:tc>
        <w:tc>
          <w:tcPr>
            <w:tcW w:w="3016" w:type="dxa"/>
            <w:gridSpan w:val="2"/>
            <w:vMerge w:val="restart"/>
            <w:vAlign w:val="center"/>
          </w:tcPr>
          <w:p>
            <w:pPr>
              <w:pStyle w:val="44"/>
              <w:rPr>
                <w:rFonts w:eastAsia="仿宋" w:cs="Times New Roman"/>
                <w:szCs w:val="21"/>
              </w:rPr>
            </w:pPr>
            <w:r>
              <w:rPr>
                <w:rFonts w:hint="eastAsia" w:eastAsia="仿宋" w:cs="Times New Roman"/>
                <w:szCs w:val="21"/>
              </w:rPr>
              <w:t>建设内容</w:t>
            </w:r>
          </w:p>
        </w:tc>
        <w:tc>
          <w:tcPr>
            <w:tcW w:w="1701" w:type="dxa"/>
            <w:gridSpan w:val="2"/>
            <w:vAlign w:val="center"/>
          </w:tcPr>
          <w:p>
            <w:pPr>
              <w:pStyle w:val="44"/>
              <w:rPr>
                <w:rFonts w:eastAsia="仿宋" w:cs="Times New Roman"/>
                <w:szCs w:val="21"/>
              </w:rPr>
            </w:pPr>
            <w:r>
              <w:rPr>
                <w:rFonts w:hint="eastAsia" w:eastAsia="仿宋" w:cs="Times New Roman"/>
                <w:szCs w:val="21"/>
              </w:rPr>
              <w:t>建设规模</w:t>
            </w:r>
          </w:p>
        </w:tc>
        <w:tc>
          <w:tcPr>
            <w:tcW w:w="1899" w:type="dxa"/>
            <w:vMerge w:val="restart"/>
            <w:vAlign w:val="center"/>
          </w:tcPr>
          <w:p>
            <w:pPr>
              <w:pStyle w:val="44"/>
              <w:rPr>
                <w:rFonts w:eastAsia="仿宋" w:cs="Times New Roman"/>
                <w:szCs w:val="21"/>
              </w:rPr>
            </w:pPr>
            <w:r>
              <w:rPr>
                <w:rFonts w:hint="eastAsia" w:eastAsia="仿宋" w:cs="Times New Roman"/>
                <w:szCs w:val="21"/>
              </w:rPr>
              <w:t>建设地点</w:t>
            </w:r>
          </w:p>
        </w:tc>
        <w:tc>
          <w:tcPr>
            <w:tcW w:w="1497" w:type="dxa"/>
            <w:gridSpan w:val="2"/>
            <w:vAlign w:val="center"/>
          </w:tcPr>
          <w:p>
            <w:pPr>
              <w:pStyle w:val="44"/>
              <w:rPr>
                <w:rFonts w:eastAsia="仿宋" w:cs="Times New Roman"/>
                <w:szCs w:val="21"/>
              </w:rPr>
            </w:pPr>
            <w:r>
              <w:rPr>
                <w:rFonts w:hint="eastAsia" w:eastAsia="仿宋" w:cs="Times New Roman"/>
                <w:szCs w:val="21"/>
              </w:rPr>
              <w:t>建设期限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665" w:type="dxa"/>
            <w:vMerge w:val="continue"/>
            <w:vAlign w:val="center"/>
          </w:tcPr>
          <w:p>
            <w:pPr>
              <w:pStyle w:val="44"/>
              <w:rPr>
                <w:rFonts w:eastAsia="仿宋" w:cs="Times New Roman"/>
                <w:szCs w:val="21"/>
              </w:rPr>
            </w:pPr>
          </w:p>
        </w:tc>
        <w:tc>
          <w:tcPr>
            <w:tcW w:w="3016" w:type="dxa"/>
            <w:gridSpan w:val="2"/>
            <w:vMerge w:val="continue"/>
            <w:vAlign w:val="center"/>
          </w:tcPr>
          <w:p>
            <w:pPr>
              <w:pStyle w:val="44"/>
              <w:rPr>
                <w:rFonts w:eastAsia="仿宋" w:cs="Times New Roman"/>
                <w:szCs w:val="21"/>
              </w:rPr>
            </w:pPr>
          </w:p>
        </w:tc>
        <w:tc>
          <w:tcPr>
            <w:tcW w:w="992" w:type="dxa"/>
            <w:vAlign w:val="center"/>
          </w:tcPr>
          <w:p>
            <w:pPr>
              <w:pStyle w:val="44"/>
              <w:rPr>
                <w:rFonts w:eastAsia="仿宋" w:cs="Times New Roman"/>
                <w:szCs w:val="21"/>
              </w:rPr>
            </w:pPr>
            <w:r>
              <w:rPr>
                <w:rFonts w:hint="eastAsia" w:eastAsia="仿宋" w:cs="Times New Roman"/>
                <w:szCs w:val="21"/>
              </w:rPr>
              <w:t>单位</w:t>
            </w:r>
          </w:p>
        </w:tc>
        <w:tc>
          <w:tcPr>
            <w:tcW w:w="709" w:type="dxa"/>
            <w:vAlign w:val="center"/>
          </w:tcPr>
          <w:p>
            <w:pPr>
              <w:pStyle w:val="44"/>
              <w:rPr>
                <w:rFonts w:eastAsia="仿宋" w:cs="Times New Roman"/>
                <w:szCs w:val="21"/>
              </w:rPr>
            </w:pPr>
            <w:r>
              <w:rPr>
                <w:rFonts w:hint="eastAsia" w:eastAsia="仿宋" w:cs="Times New Roman"/>
                <w:szCs w:val="21"/>
              </w:rPr>
              <w:t>数量</w:t>
            </w:r>
          </w:p>
        </w:tc>
        <w:tc>
          <w:tcPr>
            <w:tcW w:w="1899" w:type="dxa"/>
            <w:vMerge w:val="continue"/>
            <w:vAlign w:val="center"/>
          </w:tcPr>
          <w:p>
            <w:pPr>
              <w:pStyle w:val="44"/>
              <w:rPr>
                <w:rFonts w:eastAsia="仿宋" w:cs="Times New Roman"/>
                <w:szCs w:val="21"/>
              </w:rPr>
            </w:pPr>
          </w:p>
        </w:tc>
        <w:tc>
          <w:tcPr>
            <w:tcW w:w="783" w:type="dxa"/>
            <w:vAlign w:val="center"/>
          </w:tcPr>
          <w:p>
            <w:pPr>
              <w:pStyle w:val="44"/>
              <w:rPr>
                <w:rFonts w:eastAsia="仿宋" w:cs="Times New Roman"/>
                <w:szCs w:val="21"/>
              </w:rPr>
            </w:pPr>
            <w:r>
              <w:rPr>
                <w:rFonts w:hint="eastAsia" w:eastAsia="仿宋" w:cs="Times New Roman"/>
                <w:szCs w:val="21"/>
              </w:rPr>
              <w:t>前期</w:t>
            </w:r>
          </w:p>
        </w:tc>
        <w:tc>
          <w:tcPr>
            <w:tcW w:w="714" w:type="dxa"/>
            <w:vAlign w:val="center"/>
          </w:tcPr>
          <w:p>
            <w:pPr>
              <w:pStyle w:val="44"/>
              <w:rPr>
                <w:rFonts w:eastAsia="仿宋" w:cs="Times New Roman"/>
                <w:szCs w:val="21"/>
              </w:rPr>
            </w:pPr>
            <w:r>
              <w:rPr>
                <w:rFonts w:hint="eastAsia" w:eastAsia="仿宋" w:cs="Times New Roman"/>
                <w:szCs w:val="21"/>
              </w:rPr>
              <w:t>后期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5" w:type="dxa"/>
            <w:vMerge w:val="restart"/>
            <w:vAlign w:val="center"/>
          </w:tcPr>
          <w:p>
            <w:pPr>
              <w:pStyle w:val="45"/>
              <w:rPr>
                <w:rFonts w:eastAsia="仿宋" w:cs="Times New Roman"/>
                <w:sz w:val="21"/>
                <w:szCs w:val="21"/>
              </w:rPr>
            </w:pPr>
            <w:r>
              <w:rPr>
                <w:rFonts w:eastAsia="仿宋" w:cs="Times New Roman"/>
                <w:sz w:val="21"/>
                <w:szCs w:val="21"/>
              </w:rPr>
              <w:t>1</w:t>
            </w:r>
          </w:p>
        </w:tc>
        <w:tc>
          <w:tcPr>
            <w:tcW w:w="875" w:type="dxa"/>
            <w:vMerge w:val="restart"/>
            <w:vAlign w:val="center"/>
          </w:tcPr>
          <w:p>
            <w:pPr>
              <w:pStyle w:val="45"/>
              <w:rPr>
                <w:rFonts w:eastAsia="仿宋" w:cs="Times New Roman"/>
                <w:sz w:val="21"/>
                <w:szCs w:val="21"/>
              </w:rPr>
            </w:pPr>
            <w:r>
              <w:rPr>
                <w:rFonts w:hint="eastAsia" w:eastAsia="仿宋" w:cs="Times New Roman"/>
                <w:sz w:val="21"/>
                <w:szCs w:val="21"/>
              </w:rPr>
              <w:t>管理设施规划</w:t>
            </w:r>
          </w:p>
        </w:tc>
        <w:tc>
          <w:tcPr>
            <w:tcW w:w="2141" w:type="dxa"/>
            <w:vAlign w:val="center"/>
          </w:tcPr>
          <w:p>
            <w:pPr>
              <w:pStyle w:val="45"/>
              <w:rPr>
                <w:rFonts w:eastAsia="仿宋" w:cs="Times New Roman"/>
                <w:sz w:val="21"/>
                <w:szCs w:val="21"/>
              </w:rPr>
            </w:pPr>
            <w:r>
              <w:rPr>
                <w:rFonts w:hint="eastAsia" w:eastAsia="仿宋" w:cs="Times New Roman"/>
                <w:sz w:val="21"/>
                <w:szCs w:val="21"/>
              </w:rPr>
              <w:t>湿地公园管理处</w:t>
            </w:r>
          </w:p>
        </w:tc>
        <w:tc>
          <w:tcPr>
            <w:tcW w:w="992" w:type="dxa"/>
            <w:vAlign w:val="center"/>
          </w:tcPr>
          <w:p>
            <w:pPr>
              <w:pStyle w:val="45"/>
              <w:rPr>
                <w:rFonts w:eastAsia="仿宋" w:cs="Times New Roman"/>
                <w:sz w:val="21"/>
                <w:szCs w:val="21"/>
              </w:rPr>
            </w:pPr>
            <w:r>
              <w:rPr>
                <w:rFonts w:hint="eastAsia" w:eastAsia="仿宋" w:cs="Times New Roman"/>
                <w:sz w:val="21"/>
                <w:szCs w:val="21"/>
              </w:rPr>
              <w:t>平方米</w:t>
            </w:r>
          </w:p>
        </w:tc>
        <w:tc>
          <w:tcPr>
            <w:tcW w:w="709" w:type="dxa"/>
            <w:vAlign w:val="center"/>
          </w:tcPr>
          <w:p>
            <w:pPr>
              <w:pStyle w:val="45"/>
              <w:rPr>
                <w:rFonts w:eastAsia="仿宋" w:cs="Times New Roman"/>
                <w:sz w:val="21"/>
                <w:szCs w:val="21"/>
              </w:rPr>
            </w:pPr>
            <w:r>
              <w:rPr>
                <w:rFonts w:hint="eastAsia" w:eastAsia="仿宋" w:cs="Times New Roman"/>
                <w:sz w:val="21"/>
                <w:szCs w:val="21"/>
              </w:rPr>
              <w:t>2</w:t>
            </w:r>
            <w:r>
              <w:rPr>
                <w:rFonts w:eastAsia="仿宋" w:cs="Times New Roman"/>
                <w:sz w:val="21"/>
                <w:szCs w:val="21"/>
              </w:rPr>
              <w:t>000</w:t>
            </w:r>
          </w:p>
        </w:tc>
        <w:tc>
          <w:tcPr>
            <w:tcW w:w="1899" w:type="dxa"/>
            <w:vAlign w:val="center"/>
          </w:tcPr>
          <w:p>
            <w:pPr>
              <w:pStyle w:val="45"/>
              <w:rPr>
                <w:rFonts w:eastAsia="仿宋" w:cs="Times New Roman"/>
                <w:sz w:val="21"/>
                <w:szCs w:val="21"/>
              </w:rPr>
            </w:pPr>
            <w:r>
              <w:rPr>
                <w:rFonts w:hint="eastAsia" w:eastAsia="仿宋" w:cs="Times New Roman"/>
                <w:sz w:val="21"/>
                <w:szCs w:val="21"/>
              </w:rPr>
              <w:t>彭家堡</w:t>
            </w:r>
          </w:p>
        </w:tc>
        <w:tc>
          <w:tcPr>
            <w:tcW w:w="783" w:type="dxa"/>
            <w:vAlign w:val="center"/>
          </w:tcPr>
          <w:p>
            <w:pPr>
              <w:pStyle w:val="45"/>
              <w:rPr>
                <w:rFonts w:eastAsia="仿宋" w:cs="Times New Roman"/>
                <w:sz w:val="21"/>
                <w:szCs w:val="21"/>
              </w:rPr>
            </w:pPr>
            <w:r>
              <w:rPr>
                <w:rFonts w:hint="eastAsia" w:eastAsia="仿宋" w:cs="Times New Roman"/>
                <w:sz w:val="21"/>
                <w:szCs w:val="21"/>
              </w:rPr>
              <w:t>√</w:t>
            </w:r>
          </w:p>
        </w:tc>
        <w:tc>
          <w:tcPr>
            <w:tcW w:w="714"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5" w:type="dxa"/>
            <w:vMerge w:val="continue"/>
            <w:vAlign w:val="center"/>
          </w:tcPr>
          <w:p>
            <w:pPr>
              <w:pStyle w:val="45"/>
              <w:rPr>
                <w:rFonts w:eastAsia="仿宋" w:cs="Times New Roman"/>
                <w:sz w:val="21"/>
                <w:szCs w:val="21"/>
              </w:rPr>
            </w:pPr>
          </w:p>
        </w:tc>
        <w:tc>
          <w:tcPr>
            <w:tcW w:w="875" w:type="dxa"/>
            <w:vMerge w:val="continue"/>
            <w:vAlign w:val="center"/>
          </w:tcPr>
          <w:p>
            <w:pPr>
              <w:pStyle w:val="45"/>
              <w:rPr>
                <w:rFonts w:eastAsia="仿宋" w:cs="Times New Roman"/>
                <w:sz w:val="21"/>
                <w:szCs w:val="21"/>
              </w:rPr>
            </w:pPr>
          </w:p>
        </w:tc>
        <w:tc>
          <w:tcPr>
            <w:tcW w:w="2141" w:type="dxa"/>
            <w:vAlign w:val="center"/>
          </w:tcPr>
          <w:p>
            <w:pPr>
              <w:pStyle w:val="45"/>
              <w:rPr>
                <w:rFonts w:eastAsia="仿宋" w:cs="Times New Roman"/>
                <w:sz w:val="21"/>
                <w:szCs w:val="21"/>
              </w:rPr>
            </w:pPr>
            <w:r>
              <w:rPr>
                <w:rFonts w:hint="eastAsia" w:eastAsia="仿宋" w:cs="Times New Roman"/>
                <w:sz w:val="21"/>
                <w:szCs w:val="21"/>
              </w:rPr>
              <w:t>湿地公园管理处设备</w:t>
            </w:r>
          </w:p>
        </w:tc>
        <w:tc>
          <w:tcPr>
            <w:tcW w:w="992" w:type="dxa"/>
            <w:vAlign w:val="center"/>
          </w:tcPr>
          <w:p>
            <w:pPr>
              <w:pStyle w:val="45"/>
              <w:rPr>
                <w:rFonts w:eastAsia="仿宋" w:cs="Times New Roman"/>
                <w:sz w:val="21"/>
                <w:szCs w:val="21"/>
              </w:rPr>
            </w:pPr>
            <w:r>
              <w:rPr>
                <w:rFonts w:hint="eastAsia" w:eastAsia="仿宋" w:cs="Times New Roman"/>
                <w:sz w:val="21"/>
                <w:szCs w:val="21"/>
              </w:rPr>
              <w:t>套</w:t>
            </w:r>
          </w:p>
        </w:tc>
        <w:tc>
          <w:tcPr>
            <w:tcW w:w="709" w:type="dxa"/>
            <w:vAlign w:val="center"/>
          </w:tcPr>
          <w:p>
            <w:pPr>
              <w:pStyle w:val="45"/>
              <w:rPr>
                <w:rFonts w:eastAsia="仿宋" w:cs="Times New Roman"/>
                <w:sz w:val="21"/>
                <w:szCs w:val="21"/>
              </w:rPr>
            </w:pPr>
            <w:r>
              <w:rPr>
                <w:rFonts w:eastAsia="仿宋" w:cs="Times New Roman"/>
                <w:sz w:val="21"/>
                <w:szCs w:val="21"/>
              </w:rPr>
              <w:t>1</w:t>
            </w:r>
          </w:p>
        </w:tc>
        <w:tc>
          <w:tcPr>
            <w:tcW w:w="1899" w:type="dxa"/>
            <w:vAlign w:val="center"/>
          </w:tcPr>
          <w:p>
            <w:pPr>
              <w:pStyle w:val="45"/>
              <w:rPr>
                <w:rFonts w:eastAsia="仿宋" w:cs="Times New Roman"/>
                <w:sz w:val="21"/>
                <w:szCs w:val="21"/>
              </w:rPr>
            </w:pPr>
          </w:p>
        </w:tc>
        <w:tc>
          <w:tcPr>
            <w:tcW w:w="783" w:type="dxa"/>
            <w:vAlign w:val="center"/>
          </w:tcPr>
          <w:p>
            <w:pPr>
              <w:pStyle w:val="45"/>
              <w:rPr>
                <w:rFonts w:eastAsia="仿宋" w:cs="Times New Roman"/>
                <w:sz w:val="21"/>
                <w:szCs w:val="21"/>
              </w:rPr>
            </w:pPr>
            <w:r>
              <w:rPr>
                <w:rFonts w:hint="eastAsia" w:eastAsia="仿宋" w:cs="Times New Roman"/>
                <w:sz w:val="21"/>
                <w:szCs w:val="21"/>
              </w:rPr>
              <w:t>√</w:t>
            </w:r>
          </w:p>
        </w:tc>
        <w:tc>
          <w:tcPr>
            <w:tcW w:w="714"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5" w:type="dxa"/>
            <w:vMerge w:val="continue"/>
            <w:vAlign w:val="center"/>
          </w:tcPr>
          <w:p>
            <w:pPr>
              <w:pStyle w:val="45"/>
              <w:rPr>
                <w:rFonts w:eastAsia="仿宋" w:cs="Times New Roman"/>
                <w:sz w:val="21"/>
                <w:szCs w:val="21"/>
              </w:rPr>
            </w:pPr>
          </w:p>
        </w:tc>
        <w:tc>
          <w:tcPr>
            <w:tcW w:w="875" w:type="dxa"/>
            <w:vMerge w:val="continue"/>
            <w:vAlign w:val="center"/>
          </w:tcPr>
          <w:p>
            <w:pPr>
              <w:pStyle w:val="45"/>
              <w:rPr>
                <w:rFonts w:eastAsia="仿宋" w:cs="Times New Roman"/>
                <w:sz w:val="21"/>
                <w:szCs w:val="21"/>
              </w:rPr>
            </w:pPr>
          </w:p>
        </w:tc>
        <w:tc>
          <w:tcPr>
            <w:tcW w:w="2141" w:type="dxa"/>
            <w:vAlign w:val="center"/>
          </w:tcPr>
          <w:p>
            <w:pPr>
              <w:pStyle w:val="45"/>
              <w:rPr>
                <w:rFonts w:eastAsia="仿宋" w:cs="Times New Roman"/>
                <w:sz w:val="21"/>
                <w:szCs w:val="21"/>
              </w:rPr>
            </w:pPr>
            <w:r>
              <w:rPr>
                <w:rFonts w:hint="eastAsia" w:eastAsia="仿宋" w:cs="Times New Roman"/>
                <w:sz w:val="21"/>
                <w:szCs w:val="21"/>
              </w:rPr>
              <w:t>湿地管理站</w:t>
            </w:r>
          </w:p>
        </w:tc>
        <w:tc>
          <w:tcPr>
            <w:tcW w:w="992" w:type="dxa"/>
            <w:vAlign w:val="center"/>
          </w:tcPr>
          <w:p>
            <w:pPr>
              <w:pStyle w:val="45"/>
              <w:rPr>
                <w:rFonts w:eastAsia="仿宋" w:cs="Times New Roman"/>
                <w:sz w:val="21"/>
                <w:szCs w:val="21"/>
              </w:rPr>
            </w:pPr>
            <w:r>
              <w:rPr>
                <w:rFonts w:hint="eastAsia" w:eastAsia="仿宋" w:cs="Times New Roman"/>
                <w:sz w:val="21"/>
                <w:szCs w:val="21"/>
              </w:rPr>
              <w:t>平方米</w:t>
            </w:r>
          </w:p>
        </w:tc>
        <w:tc>
          <w:tcPr>
            <w:tcW w:w="709" w:type="dxa"/>
            <w:vAlign w:val="center"/>
          </w:tcPr>
          <w:p>
            <w:pPr>
              <w:pStyle w:val="45"/>
              <w:rPr>
                <w:rFonts w:eastAsia="仿宋" w:cs="Times New Roman"/>
                <w:sz w:val="21"/>
                <w:szCs w:val="21"/>
              </w:rPr>
            </w:pPr>
            <w:r>
              <w:rPr>
                <w:rFonts w:hint="eastAsia" w:eastAsia="仿宋" w:cs="Times New Roman"/>
                <w:sz w:val="21"/>
                <w:szCs w:val="21"/>
              </w:rPr>
              <w:t>4000</w:t>
            </w:r>
          </w:p>
        </w:tc>
        <w:tc>
          <w:tcPr>
            <w:tcW w:w="1899" w:type="dxa"/>
            <w:vAlign w:val="center"/>
          </w:tcPr>
          <w:p>
            <w:pPr>
              <w:pStyle w:val="45"/>
              <w:rPr>
                <w:rFonts w:eastAsia="仿宋" w:cs="Times New Roman"/>
                <w:sz w:val="21"/>
                <w:szCs w:val="21"/>
              </w:rPr>
            </w:pPr>
            <w:r>
              <w:rPr>
                <w:rFonts w:hint="eastAsia" w:eastAsia="仿宋" w:cs="Times New Roman"/>
                <w:sz w:val="21"/>
                <w:szCs w:val="21"/>
              </w:rPr>
              <w:t>维新镇、乐天岛、月光岛、磨市镇</w:t>
            </w:r>
          </w:p>
        </w:tc>
        <w:tc>
          <w:tcPr>
            <w:tcW w:w="783" w:type="dxa"/>
            <w:vAlign w:val="center"/>
          </w:tcPr>
          <w:p>
            <w:pPr>
              <w:pStyle w:val="45"/>
              <w:rPr>
                <w:rFonts w:eastAsia="仿宋" w:cs="Times New Roman"/>
                <w:sz w:val="21"/>
                <w:szCs w:val="21"/>
              </w:rPr>
            </w:pPr>
            <w:r>
              <w:rPr>
                <w:rFonts w:hint="eastAsia" w:eastAsia="仿宋" w:cs="Times New Roman"/>
                <w:sz w:val="21"/>
                <w:szCs w:val="21"/>
              </w:rPr>
              <w:t>√</w:t>
            </w:r>
          </w:p>
        </w:tc>
        <w:tc>
          <w:tcPr>
            <w:tcW w:w="714"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5" w:type="dxa"/>
            <w:vMerge w:val="continue"/>
            <w:vAlign w:val="center"/>
          </w:tcPr>
          <w:p>
            <w:pPr>
              <w:pStyle w:val="45"/>
              <w:rPr>
                <w:rFonts w:eastAsia="仿宋" w:cs="Times New Roman"/>
                <w:sz w:val="21"/>
                <w:szCs w:val="21"/>
              </w:rPr>
            </w:pPr>
          </w:p>
        </w:tc>
        <w:tc>
          <w:tcPr>
            <w:tcW w:w="875" w:type="dxa"/>
            <w:vMerge w:val="continue"/>
            <w:vAlign w:val="center"/>
          </w:tcPr>
          <w:p>
            <w:pPr>
              <w:pStyle w:val="45"/>
              <w:rPr>
                <w:rFonts w:eastAsia="仿宋" w:cs="Times New Roman"/>
                <w:sz w:val="21"/>
                <w:szCs w:val="21"/>
              </w:rPr>
            </w:pPr>
          </w:p>
        </w:tc>
        <w:tc>
          <w:tcPr>
            <w:tcW w:w="2141" w:type="dxa"/>
            <w:vAlign w:val="center"/>
          </w:tcPr>
          <w:p>
            <w:pPr>
              <w:pStyle w:val="45"/>
              <w:rPr>
                <w:rFonts w:eastAsia="仿宋" w:cs="Times New Roman"/>
                <w:sz w:val="21"/>
                <w:szCs w:val="21"/>
              </w:rPr>
            </w:pPr>
            <w:r>
              <w:rPr>
                <w:rFonts w:hint="eastAsia" w:eastAsia="仿宋" w:cs="Times New Roman"/>
                <w:sz w:val="21"/>
                <w:szCs w:val="21"/>
              </w:rPr>
              <w:t>湿地管理站设备</w:t>
            </w:r>
          </w:p>
        </w:tc>
        <w:tc>
          <w:tcPr>
            <w:tcW w:w="992" w:type="dxa"/>
            <w:vAlign w:val="center"/>
          </w:tcPr>
          <w:p>
            <w:pPr>
              <w:pStyle w:val="45"/>
              <w:rPr>
                <w:rFonts w:eastAsia="仿宋" w:cs="Times New Roman"/>
                <w:sz w:val="21"/>
                <w:szCs w:val="21"/>
              </w:rPr>
            </w:pPr>
            <w:r>
              <w:rPr>
                <w:rFonts w:hint="eastAsia" w:eastAsia="仿宋" w:cs="Times New Roman"/>
                <w:sz w:val="21"/>
                <w:szCs w:val="21"/>
              </w:rPr>
              <w:t>套</w:t>
            </w:r>
          </w:p>
        </w:tc>
        <w:tc>
          <w:tcPr>
            <w:tcW w:w="709" w:type="dxa"/>
            <w:vAlign w:val="center"/>
          </w:tcPr>
          <w:p>
            <w:pPr>
              <w:pStyle w:val="45"/>
              <w:rPr>
                <w:rFonts w:eastAsia="仿宋" w:cs="Times New Roman"/>
                <w:sz w:val="21"/>
                <w:szCs w:val="21"/>
              </w:rPr>
            </w:pPr>
            <w:r>
              <w:rPr>
                <w:rFonts w:hint="eastAsia" w:eastAsia="仿宋" w:cs="Times New Roman"/>
                <w:sz w:val="21"/>
                <w:szCs w:val="21"/>
              </w:rPr>
              <w:t>4</w:t>
            </w:r>
          </w:p>
        </w:tc>
        <w:tc>
          <w:tcPr>
            <w:tcW w:w="1899" w:type="dxa"/>
            <w:vAlign w:val="center"/>
          </w:tcPr>
          <w:p>
            <w:pPr>
              <w:pStyle w:val="45"/>
              <w:rPr>
                <w:rFonts w:eastAsia="仿宋" w:cs="Times New Roman"/>
                <w:sz w:val="21"/>
                <w:szCs w:val="21"/>
              </w:rPr>
            </w:pPr>
          </w:p>
        </w:tc>
        <w:tc>
          <w:tcPr>
            <w:tcW w:w="783" w:type="dxa"/>
            <w:vAlign w:val="center"/>
          </w:tcPr>
          <w:p>
            <w:pPr>
              <w:pStyle w:val="45"/>
              <w:rPr>
                <w:rFonts w:eastAsia="仿宋" w:cs="Times New Roman"/>
                <w:sz w:val="21"/>
                <w:szCs w:val="21"/>
              </w:rPr>
            </w:pPr>
            <w:r>
              <w:rPr>
                <w:rFonts w:hint="eastAsia" w:eastAsia="仿宋" w:cs="Times New Roman"/>
                <w:sz w:val="21"/>
                <w:szCs w:val="21"/>
              </w:rPr>
              <w:t>√</w:t>
            </w:r>
          </w:p>
        </w:tc>
        <w:tc>
          <w:tcPr>
            <w:tcW w:w="714"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5" w:type="dxa"/>
            <w:vMerge w:val="continue"/>
            <w:vAlign w:val="center"/>
          </w:tcPr>
          <w:p>
            <w:pPr>
              <w:pStyle w:val="45"/>
              <w:rPr>
                <w:rFonts w:eastAsia="仿宋" w:cs="Times New Roman"/>
                <w:sz w:val="21"/>
                <w:szCs w:val="21"/>
              </w:rPr>
            </w:pPr>
          </w:p>
        </w:tc>
        <w:tc>
          <w:tcPr>
            <w:tcW w:w="875" w:type="dxa"/>
            <w:vMerge w:val="continue"/>
            <w:vAlign w:val="center"/>
          </w:tcPr>
          <w:p>
            <w:pPr>
              <w:pStyle w:val="45"/>
              <w:rPr>
                <w:rFonts w:eastAsia="仿宋" w:cs="Times New Roman"/>
                <w:sz w:val="21"/>
                <w:szCs w:val="21"/>
              </w:rPr>
            </w:pPr>
          </w:p>
        </w:tc>
        <w:tc>
          <w:tcPr>
            <w:tcW w:w="2141" w:type="dxa"/>
            <w:vAlign w:val="center"/>
          </w:tcPr>
          <w:p>
            <w:pPr>
              <w:pStyle w:val="45"/>
              <w:rPr>
                <w:rFonts w:eastAsia="仿宋" w:cs="Times New Roman"/>
                <w:sz w:val="21"/>
                <w:szCs w:val="21"/>
              </w:rPr>
            </w:pPr>
            <w:r>
              <w:rPr>
                <w:rFonts w:hint="eastAsia" w:eastAsia="仿宋" w:cs="Times New Roman"/>
                <w:sz w:val="21"/>
                <w:szCs w:val="21"/>
              </w:rPr>
              <w:t>管护用车</w:t>
            </w:r>
          </w:p>
        </w:tc>
        <w:tc>
          <w:tcPr>
            <w:tcW w:w="992" w:type="dxa"/>
            <w:vAlign w:val="center"/>
          </w:tcPr>
          <w:p>
            <w:pPr>
              <w:pStyle w:val="45"/>
              <w:rPr>
                <w:rFonts w:eastAsia="仿宋" w:cs="Times New Roman"/>
                <w:sz w:val="21"/>
                <w:szCs w:val="21"/>
              </w:rPr>
            </w:pPr>
            <w:r>
              <w:rPr>
                <w:rFonts w:hint="eastAsia" w:eastAsia="仿宋" w:cs="Times New Roman"/>
                <w:sz w:val="21"/>
                <w:szCs w:val="21"/>
              </w:rPr>
              <w:t>辆</w:t>
            </w:r>
          </w:p>
        </w:tc>
        <w:tc>
          <w:tcPr>
            <w:tcW w:w="709" w:type="dxa"/>
            <w:vAlign w:val="center"/>
          </w:tcPr>
          <w:p>
            <w:pPr>
              <w:pStyle w:val="45"/>
              <w:rPr>
                <w:rFonts w:eastAsia="仿宋" w:cs="Times New Roman"/>
                <w:sz w:val="21"/>
                <w:szCs w:val="21"/>
              </w:rPr>
            </w:pPr>
            <w:r>
              <w:rPr>
                <w:rFonts w:hint="eastAsia" w:eastAsia="仿宋" w:cs="Times New Roman"/>
                <w:sz w:val="21"/>
                <w:szCs w:val="21"/>
              </w:rPr>
              <w:t>4</w:t>
            </w:r>
          </w:p>
        </w:tc>
        <w:tc>
          <w:tcPr>
            <w:tcW w:w="1899" w:type="dxa"/>
            <w:vAlign w:val="center"/>
          </w:tcPr>
          <w:p>
            <w:pPr>
              <w:pStyle w:val="45"/>
              <w:rPr>
                <w:rFonts w:eastAsia="仿宋" w:cs="Times New Roman"/>
                <w:sz w:val="21"/>
                <w:szCs w:val="21"/>
              </w:rPr>
            </w:pPr>
          </w:p>
        </w:tc>
        <w:tc>
          <w:tcPr>
            <w:tcW w:w="783" w:type="dxa"/>
            <w:vAlign w:val="center"/>
          </w:tcPr>
          <w:p>
            <w:pPr>
              <w:pStyle w:val="45"/>
              <w:rPr>
                <w:rFonts w:eastAsia="仿宋" w:cs="Times New Roman"/>
                <w:sz w:val="21"/>
                <w:szCs w:val="21"/>
              </w:rPr>
            </w:pPr>
            <w:r>
              <w:rPr>
                <w:rFonts w:hint="eastAsia" w:eastAsia="仿宋" w:cs="Times New Roman"/>
                <w:sz w:val="21"/>
                <w:szCs w:val="21"/>
              </w:rPr>
              <w:t>√</w:t>
            </w:r>
          </w:p>
        </w:tc>
        <w:tc>
          <w:tcPr>
            <w:tcW w:w="714"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5" w:type="dxa"/>
            <w:vMerge w:val="continue"/>
            <w:vAlign w:val="center"/>
          </w:tcPr>
          <w:p>
            <w:pPr>
              <w:pStyle w:val="45"/>
              <w:rPr>
                <w:rFonts w:eastAsia="仿宋" w:cs="Times New Roman"/>
                <w:sz w:val="21"/>
                <w:szCs w:val="21"/>
              </w:rPr>
            </w:pPr>
          </w:p>
        </w:tc>
        <w:tc>
          <w:tcPr>
            <w:tcW w:w="875" w:type="dxa"/>
            <w:vMerge w:val="continue"/>
            <w:vAlign w:val="center"/>
          </w:tcPr>
          <w:p>
            <w:pPr>
              <w:pStyle w:val="45"/>
              <w:rPr>
                <w:rFonts w:eastAsia="仿宋" w:cs="Times New Roman"/>
                <w:sz w:val="21"/>
                <w:szCs w:val="21"/>
              </w:rPr>
            </w:pPr>
          </w:p>
        </w:tc>
        <w:tc>
          <w:tcPr>
            <w:tcW w:w="2141" w:type="dxa"/>
            <w:vAlign w:val="center"/>
          </w:tcPr>
          <w:p>
            <w:pPr>
              <w:pStyle w:val="45"/>
              <w:rPr>
                <w:rFonts w:eastAsia="仿宋" w:cs="Times New Roman"/>
                <w:sz w:val="21"/>
                <w:szCs w:val="21"/>
              </w:rPr>
            </w:pPr>
            <w:r>
              <w:rPr>
                <w:rFonts w:hint="eastAsia" w:eastAsia="仿宋" w:cs="Times New Roman"/>
                <w:sz w:val="21"/>
                <w:szCs w:val="21"/>
              </w:rPr>
              <w:t>管理用车</w:t>
            </w:r>
          </w:p>
        </w:tc>
        <w:tc>
          <w:tcPr>
            <w:tcW w:w="992" w:type="dxa"/>
            <w:vAlign w:val="center"/>
          </w:tcPr>
          <w:p>
            <w:pPr>
              <w:pStyle w:val="45"/>
              <w:rPr>
                <w:rFonts w:eastAsia="仿宋" w:cs="Times New Roman"/>
                <w:sz w:val="21"/>
                <w:szCs w:val="21"/>
              </w:rPr>
            </w:pPr>
            <w:r>
              <w:rPr>
                <w:rFonts w:hint="eastAsia" w:eastAsia="仿宋" w:cs="Times New Roman"/>
                <w:sz w:val="21"/>
                <w:szCs w:val="21"/>
              </w:rPr>
              <w:t>辆</w:t>
            </w:r>
          </w:p>
        </w:tc>
        <w:tc>
          <w:tcPr>
            <w:tcW w:w="709" w:type="dxa"/>
            <w:vAlign w:val="center"/>
          </w:tcPr>
          <w:p>
            <w:pPr>
              <w:pStyle w:val="45"/>
              <w:rPr>
                <w:rFonts w:eastAsia="仿宋" w:cs="Times New Roman"/>
                <w:sz w:val="21"/>
                <w:szCs w:val="21"/>
              </w:rPr>
            </w:pPr>
            <w:r>
              <w:rPr>
                <w:rFonts w:hint="eastAsia" w:eastAsia="仿宋" w:cs="Times New Roman"/>
                <w:sz w:val="21"/>
                <w:szCs w:val="21"/>
              </w:rPr>
              <w:t>4</w:t>
            </w:r>
          </w:p>
        </w:tc>
        <w:tc>
          <w:tcPr>
            <w:tcW w:w="1899" w:type="dxa"/>
            <w:vAlign w:val="center"/>
          </w:tcPr>
          <w:p>
            <w:pPr>
              <w:pStyle w:val="45"/>
              <w:rPr>
                <w:rFonts w:eastAsia="仿宋" w:cs="Times New Roman"/>
                <w:sz w:val="21"/>
                <w:szCs w:val="21"/>
              </w:rPr>
            </w:pPr>
          </w:p>
        </w:tc>
        <w:tc>
          <w:tcPr>
            <w:tcW w:w="783" w:type="dxa"/>
            <w:vAlign w:val="center"/>
          </w:tcPr>
          <w:p>
            <w:pPr>
              <w:pStyle w:val="45"/>
              <w:rPr>
                <w:rFonts w:eastAsia="仿宋" w:cs="Times New Roman"/>
                <w:sz w:val="21"/>
                <w:szCs w:val="21"/>
              </w:rPr>
            </w:pPr>
            <w:r>
              <w:rPr>
                <w:rFonts w:hint="eastAsia" w:eastAsia="仿宋" w:cs="Times New Roman"/>
                <w:sz w:val="21"/>
                <w:szCs w:val="21"/>
              </w:rPr>
              <w:t>√</w:t>
            </w:r>
          </w:p>
        </w:tc>
        <w:tc>
          <w:tcPr>
            <w:tcW w:w="714"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5" w:type="dxa"/>
            <w:vMerge w:val="continue"/>
            <w:vAlign w:val="center"/>
          </w:tcPr>
          <w:p>
            <w:pPr>
              <w:pStyle w:val="45"/>
              <w:rPr>
                <w:rFonts w:eastAsia="仿宋" w:cs="Times New Roman"/>
                <w:sz w:val="21"/>
                <w:szCs w:val="21"/>
              </w:rPr>
            </w:pPr>
          </w:p>
        </w:tc>
        <w:tc>
          <w:tcPr>
            <w:tcW w:w="875" w:type="dxa"/>
            <w:vMerge w:val="continue"/>
            <w:vAlign w:val="center"/>
          </w:tcPr>
          <w:p>
            <w:pPr>
              <w:pStyle w:val="45"/>
              <w:rPr>
                <w:rFonts w:eastAsia="仿宋" w:cs="Times New Roman"/>
                <w:sz w:val="21"/>
                <w:szCs w:val="21"/>
              </w:rPr>
            </w:pPr>
          </w:p>
        </w:tc>
        <w:tc>
          <w:tcPr>
            <w:tcW w:w="2141" w:type="dxa"/>
            <w:vAlign w:val="center"/>
          </w:tcPr>
          <w:p>
            <w:pPr>
              <w:pStyle w:val="45"/>
              <w:rPr>
                <w:rFonts w:eastAsia="仿宋" w:cs="Times New Roman"/>
                <w:sz w:val="21"/>
                <w:szCs w:val="21"/>
              </w:rPr>
            </w:pPr>
            <w:r>
              <w:rPr>
                <w:rFonts w:hint="eastAsia" w:eastAsia="仿宋" w:cs="Times New Roman"/>
                <w:sz w:val="21"/>
                <w:szCs w:val="21"/>
              </w:rPr>
              <w:t>基础数据库</w:t>
            </w:r>
          </w:p>
        </w:tc>
        <w:tc>
          <w:tcPr>
            <w:tcW w:w="992" w:type="dxa"/>
            <w:vAlign w:val="center"/>
          </w:tcPr>
          <w:p>
            <w:pPr>
              <w:pStyle w:val="45"/>
              <w:rPr>
                <w:rFonts w:eastAsia="仿宋" w:cs="Times New Roman"/>
                <w:sz w:val="21"/>
                <w:szCs w:val="21"/>
              </w:rPr>
            </w:pPr>
            <w:r>
              <w:rPr>
                <w:rFonts w:hint="eastAsia" w:eastAsia="仿宋" w:cs="Times New Roman"/>
                <w:sz w:val="21"/>
                <w:szCs w:val="21"/>
              </w:rPr>
              <w:t>套</w:t>
            </w:r>
          </w:p>
        </w:tc>
        <w:tc>
          <w:tcPr>
            <w:tcW w:w="709" w:type="dxa"/>
            <w:vAlign w:val="center"/>
          </w:tcPr>
          <w:p>
            <w:pPr>
              <w:pStyle w:val="45"/>
              <w:rPr>
                <w:rFonts w:eastAsia="仿宋" w:cs="Times New Roman"/>
                <w:sz w:val="21"/>
                <w:szCs w:val="21"/>
              </w:rPr>
            </w:pPr>
            <w:r>
              <w:rPr>
                <w:rFonts w:hint="eastAsia" w:eastAsia="仿宋" w:cs="Times New Roman"/>
                <w:sz w:val="21"/>
                <w:szCs w:val="21"/>
              </w:rPr>
              <w:t>1</w:t>
            </w:r>
          </w:p>
        </w:tc>
        <w:tc>
          <w:tcPr>
            <w:tcW w:w="1899" w:type="dxa"/>
            <w:vAlign w:val="center"/>
          </w:tcPr>
          <w:p>
            <w:pPr>
              <w:pStyle w:val="45"/>
              <w:rPr>
                <w:rFonts w:eastAsia="仿宋" w:cs="Times New Roman"/>
                <w:sz w:val="21"/>
                <w:szCs w:val="21"/>
              </w:rPr>
            </w:pPr>
          </w:p>
        </w:tc>
        <w:tc>
          <w:tcPr>
            <w:tcW w:w="783" w:type="dxa"/>
            <w:vAlign w:val="center"/>
          </w:tcPr>
          <w:p>
            <w:pPr>
              <w:pStyle w:val="45"/>
              <w:rPr>
                <w:rFonts w:eastAsia="仿宋" w:cs="Times New Roman"/>
                <w:sz w:val="21"/>
                <w:szCs w:val="21"/>
              </w:rPr>
            </w:pPr>
          </w:p>
        </w:tc>
        <w:tc>
          <w:tcPr>
            <w:tcW w:w="714"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5" w:type="dxa"/>
            <w:vMerge w:val="continue"/>
            <w:vAlign w:val="center"/>
          </w:tcPr>
          <w:p>
            <w:pPr>
              <w:pStyle w:val="45"/>
              <w:rPr>
                <w:rFonts w:eastAsia="仿宋" w:cs="Times New Roman"/>
                <w:sz w:val="21"/>
                <w:szCs w:val="21"/>
              </w:rPr>
            </w:pPr>
          </w:p>
        </w:tc>
        <w:tc>
          <w:tcPr>
            <w:tcW w:w="875" w:type="dxa"/>
            <w:vMerge w:val="continue"/>
            <w:vAlign w:val="center"/>
          </w:tcPr>
          <w:p>
            <w:pPr>
              <w:pStyle w:val="45"/>
              <w:rPr>
                <w:rFonts w:eastAsia="仿宋" w:cs="Times New Roman"/>
                <w:sz w:val="21"/>
                <w:szCs w:val="21"/>
              </w:rPr>
            </w:pPr>
          </w:p>
        </w:tc>
        <w:tc>
          <w:tcPr>
            <w:tcW w:w="2141" w:type="dxa"/>
            <w:vAlign w:val="center"/>
          </w:tcPr>
          <w:p>
            <w:pPr>
              <w:pStyle w:val="45"/>
              <w:rPr>
                <w:rFonts w:eastAsia="仿宋" w:cs="Times New Roman"/>
                <w:sz w:val="21"/>
                <w:szCs w:val="21"/>
              </w:rPr>
            </w:pPr>
            <w:r>
              <w:rPr>
                <w:rFonts w:hint="eastAsia" w:eastAsia="仿宋" w:cs="Times New Roman"/>
                <w:sz w:val="21"/>
                <w:szCs w:val="21"/>
              </w:rPr>
              <w:t>数据库存储设备</w:t>
            </w:r>
          </w:p>
        </w:tc>
        <w:tc>
          <w:tcPr>
            <w:tcW w:w="992" w:type="dxa"/>
            <w:vAlign w:val="center"/>
          </w:tcPr>
          <w:p>
            <w:pPr>
              <w:pStyle w:val="45"/>
              <w:rPr>
                <w:rFonts w:eastAsia="仿宋" w:cs="Times New Roman"/>
                <w:sz w:val="21"/>
                <w:szCs w:val="21"/>
              </w:rPr>
            </w:pPr>
            <w:r>
              <w:rPr>
                <w:rFonts w:hint="eastAsia" w:eastAsia="仿宋" w:cs="Times New Roman"/>
                <w:sz w:val="21"/>
                <w:szCs w:val="21"/>
              </w:rPr>
              <w:t>套</w:t>
            </w:r>
          </w:p>
        </w:tc>
        <w:tc>
          <w:tcPr>
            <w:tcW w:w="709" w:type="dxa"/>
            <w:vAlign w:val="center"/>
          </w:tcPr>
          <w:p>
            <w:pPr>
              <w:pStyle w:val="45"/>
              <w:rPr>
                <w:rFonts w:eastAsia="仿宋" w:cs="Times New Roman"/>
                <w:sz w:val="21"/>
                <w:szCs w:val="21"/>
              </w:rPr>
            </w:pPr>
            <w:r>
              <w:rPr>
                <w:rFonts w:hint="eastAsia" w:eastAsia="仿宋" w:cs="Times New Roman"/>
                <w:sz w:val="21"/>
                <w:szCs w:val="21"/>
              </w:rPr>
              <w:t>1</w:t>
            </w:r>
          </w:p>
        </w:tc>
        <w:tc>
          <w:tcPr>
            <w:tcW w:w="1899" w:type="dxa"/>
            <w:vAlign w:val="center"/>
          </w:tcPr>
          <w:p>
            <w:pPr>
              <w:pStyle w:val="45"/>
              <w:rPr>
                <w:rFonts w:eastAsia="仿宋" w:cs="Times New Roman"/>
                <w:sz w:val="21"/>
                <w:szCs w:val="21"/>
              </w:rPr>
            </w:pPr>
          </w:p>
        </w:tc>
        <w:tc>
          <w:tcPr>
            <w:tcW w:w="783" w:type="dxa"/>
            <w:vAlign w:val="center"/>
          </w:tcPr>
          <w:p>
            <w:pPr>
              <w:pStyle w:val="45"/>
              <w:rPr>
                <w:rFonts w:eastAsia="仿宋" w:cs="Times New Roman"/>
                <w:sz w:val="21"/>
                <w:szCs w:val="21"/>
              </w:rPr>
            </w:pPr>
          </w:p>
        </w:tc>
        <w:tc>
          <w:tcPr>
            <w:tcW w:w="714"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5" w:type="dxa"/>
            <w:vMerge w:val="restart"/>
            <w:vAlign w:val="center"/>
          </w:tcPr>
          <w:p>
            <w:pPr>
              <w:pStyle w:val="45"/>
              <w:rPr>
                <w:rFonts w:eastAsia="仿宋" w:cs="Times New Roman"/>
                <w:sz w:val="21"/>
                <w:szCs w:val="21"/>
              </w:rPr>
            </w:pPr>
            <w:r>
              <w:rPr>
                <w:rFonts w:eastAsia="仿宋" w:cs="Times New Roman"/>
                <w:sz w:val="21"/>
                <w:szCs w:val="21"/>
              </w:rPr>
              <w:t>2</w:t>
            </w:r>
          </w:p>
        </w:tc>
        <w:tc>
          <w:tcPr>
            <w:tcW w:w="875" w:type="dxa"/>
            <w:vMerge w:val="restart"/>
            <w:vAlign w:val="center"/>
          </w:tcPr>
          <w:p>
            <w:pPr>
              <w:pStyle w:val="45"/>
              <w:rPr>
                <w:rFonts w:eastAsia="仿宋" w:cs="Times New Roman"/>
                <w:sz w:val="21"/>
                <w:szCs w:val="21"/>
              </w:rPr>
            </w:pPr>
            <w:r>
              <w:rPr>
                <w:rFonts w:hint="eastAsia" w:eastAsia="仿宋" w:cs="Times New Roman"/>
                <w:sz w:val="21"/>
                <w:szCs w:val="21"/>
              </w:rPr>
              <w:t>社区协调规划</w:t>
            </w:r>
          </w:p>
        </w:tc>
        <w:tc>
          <w:tcPr>
            <w:tcW w:w="2141" w:type="dxa"/>
            <w:vAlign w:val="center"/>
          </w:tcPr>
          <w:p>
            <w:pPr>
              <w:pStyle w:val="45"/>
              <w:rPr>
                <w:rFonts w:eastAsia="仿宋" w:cs="Times New Roman"/>
                <w:sz w:val="21"/>
                <w:szCs w:val="21"/>
              </w:rPr>
            </w:pPr>
            <w:r>
              <w:rPr>
                <w:rFonts w:hint="eastAsia" w:eastAsia="仿宋" w:cs="Times New Roman"/>
                <w:sz w:val="21"/>
                <w:szCs w:val="21"/>
              </w:rPr>
              <w:t>社区培训</w:t>
            </w:r>
          </w:p>
        </w:tc>
        <w:tc>
          <w:tcPr>
            <w:tcW w:w="992" w:type="dxa"/>
            <w:vAlign w:val="center"/>
          </w:tcPr>
          <w:p>
            <w:pPr>
              <w:pStyle w:val="45"/>
              <w:rPr>
                <w:rFonts w:eastAsia="仿宋" w:cs="Times New Roman"/>
                <w:sz w:val="21"/>
                <w:szCs w:val="21"/>
              </w:rPr>
            </w:pPr>
            <w:r>
              <w:rPr>
                <w:rFonts w:hint="eastAsia" w:eastAsia="仿宋" w:cs="Times New Roman"/>
                <w:sz w:val="21"/>
                <w:szCs w:val="21"/>
              </w:rPr>
              <w:t>项</w:t>
            </w:r>
          </w:p>
        </w:tc>
        <w:tc>
          <w:tcPr>
            <w:tcW w:w="709" w:type="dxa"/>
            <w:vAlign w:val="center"/>
          </w:tcPr>
          <w:p>
            <w:pPr>
              <w:pStyle w:val="45"/>
              <w:rPr>
                <w:rFonts w:eastAsia="仿宋" w:cs="Times New Roman"/>
                <w:sz w:val="21"/>
                <w:szCs w:val="21"/>
              </w:rPr>
            </w:pPr>
            <w:r>
              <w:rPr>
                <w:rFonts w:eastAsia="仿宋" w:cs="Times New Roman"/>
                <w:sz w:val="21"/>
                <w:szCs w:val="21"/>
              </w:rPr>
              <w:t>1</w:t>
            </w:r>
          </w:p>
        </w:tc>
        <w:tc>
          <w:tcPr>
            <w:tcW w:w="1899" w:type="dxa"/>
            <w:vAlign w:val="center"/>
          </w:tcPr>
          <w:p>
            <w:pPr>
              <w:pStyle w:val="45"/>
              <w:rPr>
                <w:rFonts w:eastAsia="仿宋" w:cs="Times New Roman"/>
                <w:sz w:val="21"/>
                <w:szCs w:val="21"/>
              </w:rPr>
            </w:pPr>
          </w:p>
        </w:tc>
        <w:tc>
          <w:tcPr>
            <w:tcW w:w="783" w:type="dxa"/>
            <w:vAlign w:val="center"/>
          </w:tcPr>
          <w:p>
            <w:pPr>
              <w:pStyle w:val="45"/>
              <w:rPr>
                <w:rFonts w:eastAsia="仿宋" w:cs="Times New Roman"/>
                <w:sz w:val="21"/>
                <w:szCs w:val="21"/>
              </w:rPr>
            </w:pPr>
            <w:r>
              <w:rPr>
                <w:rFonts w:hint="eastAsia" w:eastAsia="仿宋" w:cs="Times New Roman"/>
                <w:sz w:val="21"/>
                <w:szCs w:val="21"/>
              </w:rPr>
              <w:t>√</w:t>
            </w:r>
          </w:p>
        </w:tc>
        <w:tc>
          <w:tcPr>
            <w:tcW w:w="714" w:type="dxa"/>
            <w:vAlign w:val="center"/>
          </w:tcPr>
          <w:p>
            <w:pPr>
              <w:pStyle w:val="45"/>
              <w:rPr>
                <w:rFonts w:eastAsia="仿宋" w:cs="Times New Roman"/>
                <w:sz w:val="21"/>
                <w:szCs w:val="21"/>
              </w:rPr>
            </w:pPr>
            <w:r>
              <w:rPr>
                <w:rFonts w:hint="eastAsia" w:eastAsia="仿宋"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5" w:type="dxa"/>
            <w:vMerge w:val="continue"/>
            <w:vAlign w:val="center"/>
          </w:tcPr>
          <w:p>
            <w:pPr>
              <w:pStyle w:val="45"/>
              <w:rPr>
                <w:rFonts w:eastAsia="仿宋" w:cs="Times New Roman"/>
                <w:sz w:val="21"/>
                <w:szCs w:val="21"/>
              </w:rPr>
            </w:pPr>
          </w:p>
        </w:tc>
        <w:tc>
          <w:tcPr>
            <w:tcW w:w="875" w:type="dxa"/>
            <w:vMerge w:val="continue"/>
            <w:vAlign w:val="center"/>
          </w:tcPr>
          <w:p>
            <w:pPr>
              <w:pStyle w:val="45"/>
              <w:rPr>
                <w:rFonts w:eastAsia="仿宋" w:cs="Times New Roman"/>
                <w:sz w:val="21"/>
                <w:szCs w:val="21"/>
              </w:rPr>
            </w:pPr>
          </w:p>
        </w:tc>
        <w:tc>
          <w:tcPr>
            <w:tcW w:w="2141" w:type="dxa"/>
            <w:vAlign w:val="center"/>
          </w:tcPr>
          <w:p>
            <w:pPr>
              <w:pStyle w:val="45"/>
              <w:rPr>
                <w:rFonts w:eastAsia="仿宋" w:cs="Times New Roman"/>
                <w:sz w:val="21"/>
                <w:szCs w:val="21"/>
              </w:rPr>
            </w:pPr>
            <w:r>
              <w:rPr>
                <w:rFonts w:hint="eastAsia" w:eastAsia="仿宋" w:cs="Times New Roman"/>
                <w:sz w:val="21"/>
                <w:szCs w:val="21"/>
              </w:rPr>
              <w:t>渡轮码头</w:t>
            </w:r>
          </w:p>
        </w:tc>
        <w:tc>
          <w:tcPr>
            <w:tcW w:w="992" w:type="dxa"/>
            <w:vAlign w:val="center"/>
          </w:tcPr>
          <w:p>
            <w:pPr>
              <w:pStyle w:val="45"/>
              <w:rPr>
                <w:rFonts w:eastAsia="仿宋" w:cs="Times New Roman"/>
                <w:sz w:val="21"/>
                <w:szCs w:val="21"/>
              </w:rPr>
            </w:pPr>
            <w:r>
              <w:rPr>
                <w:rFonts w:hint="eastAsia" w:eastAsia="仿宋" w:cs="Times New Roman"/>
                <w:sz w:val="21"/>
                <w:szCs w:val="21"/>
              </w:rPr>
              <w:t>座</w:t>
            </w:r>
          </w:p>
        </w:tc>
        <w:tc>
          <w:tcPr>
            <w:tcW w:w="709" w:type="dxa"/>
            <w:vAlign w:val="center"/>
          </w:tcPr>
          <w:p>
            <w:pPr>
              <w:pStyle w:val="45"/>
              <w:rPr>
                <w:rFonts w:eastAsia="仿宋" w:cs="Times New Roman"/>
                <w:sz w:val="21"/>
                <w:szCs w:val="21"/>
              </w:rPr>
            </w:pPr>
            <w:r>
              <w:rPr>
                <w:rFonts w:hint="eastAsia" w:eastAsia="仿宋" w:cs="Times New Roman"/>
                <w:sz w:val="21"/>
                <w:szCs w:val="21"/>
              </w:rPr>
              <w:t>2</w:t>
            </w:r>
          </w:p>
        </w:tc>
        <w:tc>
          <w:tcPr>
            <w:tcW w:w="1899" w:type="dxa"/>
            <w:vAlign w:val="center"/>
          </w:tcPr>
          <w:p>
            <w:pPr>
              <w:pStyle w:val="45"/>
              <w:rPr>
                <w:rFonts w:eastAsia="仿宋" w:cs="Times New Roman"/>
                <w:sz w:val="21"/>
                <w:szCs w:val="21"/>
              </w:rPr>
            </w:pPr>
            <w:r>
              <w:rPr>
                <w:rFonts w:hint="eastAsia" w:eastAsia="仿宋" w:cs="Times New Roman"/>
                <w:sz w:val="21"/>
                <w:szCs w:val="21"/>
              </w:rPr>
              <w:t>维新镇</w:t>
            </w:r>
          </w:p>
        </w:tc>
        <w:tc>
          <w:tcPr>
            <w:tcW w:w="783" w:type="dxa"/>
            <w:vAlign w:val="center"/>
          </w:tcPr>
          <w:p>
            <w:pPr>
              <w:pStyle w:val="45"/>
              <w:rPr>
                <w:rFonts w:eastAsia="仿宋" w:cs="Times New Roman"/>
                <w:sz w:val="21"/>
                <w:szCs w:val="21"/>
              </w:rPr>
            </w:pPr>
            <w:r>
              <w:rPr>
                <w:rFonts w:eastAsia="仿宋" w:cs="Times New Roman"/>
                <w:sz w:val="21"/>
                <w:szCs w:val="21"/>
              </w:rPr>
              <w:t>√</w:t>
            </w:r>
          </w:p>
        </w:tc>
        <w:tc>
          <w:tcPr>
            <w:tcW w:w="714"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5" w:type="dxa"/>
            <w:vMerge w:val="continue"/>
            <w:vAlign w:val="center"/>
          </w:tcPr>
          <w:p>
            <w:pPr>
              <w:pStyle w:val="45"/>
              <w:rPr>
                <w:rFonts w:eastAsia="仿宋" w:cs="Times New Roman"/>
                <w:sz w:val="21"/>
                <w:szCs w:val="21"/>
              </w:rPr>
            </w:pPr>
          </w:p>
        </w:tc>
        <w:tc>
          <w:tcPr>
            <w:tcW w:w="875" w:type="dxa"/>
            <w:vMerge w:val="continue"/>
            <w:vAlign w:val="center"/>
          </w:tcPr>
          <w:p>
            <w:pPr>
              <w:pStyle w:val="45"/>
              <w:rPr>
                <w:rFonts w:eastAsia="仿宋" w:cs="Times New Roman"/>
                <w:sz w:val="21"/>
                <w:szCs w:val="21"/>
              </w:rPr>
            </w:pPr>
          </w:p>
        </w:tc>
        <w:tc>
          <w:tcPr>
            <w:tcW w:w="2141" w:type="dxa"/>
            <w:vAlign w:val="center"/>
          </w:tcPr>
          <w:p>
            <w:pPr>
              <w:pStyle w:val="45"/>
              <w:rPr>
                <w:rFonts w:eastAsia="仿宋" w:cs="Times New Roman"/>
                <w:sz w:val="21"/>
                <w:szCs w:val="21"/>
              </w:rPr>
            </w:pPr>
            <w:r>
              <w:rPr>
                <w:rFonts w:hint="eastAsia" w:eastAsia="仿宋" w:cs="Times New Roman"/>
                <w:sz w:val="21"/>
                <w:szCs w:val="21"/>
              </w:rPr>
              <w:t>西北灌溉引水工程</w:t>
            </w:r>
          </w:p>
        </w:tc>
        <w:tc>
          <w:tcPr>
            <w:tcW w:w="992" w:type="dxa"/>
            <w:vAlign w:val="center"/>
          </w:tcPr>
          <w:p>
            <w:pPr>
              <w:pStyle w:val="45"/>
              <w:rPr>
                <w:rFonts w:eastAsia="仿宋" w:cs="Times New Roman"/>
                <w:sz w:val="21"/>
                <w:szCs w:val="21"/>
              </w:rPr>
            </w:pPr>
            <w:r>
              <w:rPr>
                <w:rFonts w:hint="eastAsia" w:eastAsia="仿宋" w:cs="Times New Roman"/>
                <w:sz w:val="21"/>
                <w:szCs w:val="21"/>
              </w:rPr>
              <w:t>项</w:t>
            </w:r>
          </w:p>
        </w:tc>
        <w:tc>
          <w:tcPr>
            <w:tcW w:w="709" w:type="dxa"/>
            <w:vAlign w:val="center"/>
          </w:tcPr>
          <w:p>
            <w:pPr>
              <w:pStyle w:val="45"/>
              <w:rPr>
                <w:rFonts w:eastAsia="仿宋" w:cs="Times New Roman"/>
                <w:sz w:val="21"/>
                <w:szCs w:val="21"/>
              </w:rPr>
            </w:pPr>
            <w:r>
              <w:rPr>
                <w:rFonts w:hint="eastAsia" w:eastAsia="仿宋" w:cs="Times New Roman"/>
                <w:sz w:val="21"/>
                <w:szCs w:val="21"/>
              </w:rPr>
              <w:t>1</w:t>
            </w:r>
          </w:p>
        </w:tc>
        <w:tc>
          <w:tcPr>
            <w:tcW w:w="1899" w:type="dxa"/>
            <w:vAlign w:val="center"/>
          </w:tcPr>
          <w:p>
            <w:pPr>
              <w:pStyle w:val="45"/>
              <w:rPr>
                <w:rFonts w:eastAsia="仿宋" w:cs="Times New Roman"/>
                <w:sz w:val="21"/>
                <w:szCs w:val="21"/>
              </w:rPr>
            </w:pPr>
            <w:r>
              <w:rPr>
                <w:rFonts w:hint="eastAsia" w:eastAsia="仿宋" w:cs="Times New Roman"/>
                <w:sz w:val="21"/>
                <w:szCs w:val="21"/>
              </w:rPr>
              <w:t>永兴桥村</w:t>
            </w:r>
          </w:p>
        </w:tc>
        <w:tc>
          <w:tcPr>
            <w:tcW w:w="783" w:type="dxa"/>
            <w:vAlign w:val="center"/>
          </w:tcPr>
          <w:p>
            <w:pPr>
              <w:pStyle w:val="45"/>
              <w:rPr>
                <w:rFonts w:eastAsia="仿宋" w:cs="Times New Roman"/>
                <w:sz w:val="21"/>
                <w:szCs w:val="21"/>
              </w:rPr>
            </w:pPr>
            <w:r>
              <w:rPr>
                <w:rFonts w:eastAsia="仿宋" w:cs="Times New Roman"/>
                <w:sz w:val="21"/>
                <w:szCs w:val="21"/>
              </w:rPr>
              <w:t>√</w:t>
            </w:r>
          </w:p>
        </w:tc>
        <w:tc>
          <w:tcPr>
            <w:tcW w:w="714"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5" w:type="dxa"/>
            <w:vMerge w:val="continue"/>
            <w:vAlign w:val="center"/>
          </w:tcPr>
          <w:p>
            <w:pPr>
              <w:pStyle w:val="45"/>
              <w:rPr>
                <w:rFonts w:eastAsia="仿宋" w:cs="Times New Roman"/>
                <w:sz w:val="21"/>
                <w:szCs w:val="21"/>
              </w:rPr>
            </w:pPr>
          </w:p>
        </w:tc>
        <w:tc>
          <w:tcPr>
            <w:tcW w:w="875" w:type="dxa"/>
            <w:vMerge w:val="continue"/>
            <w:vAlign w:val="center"/>
          </w:tcPr>
          <w:p>
            <w:pPr>
              <w:pStyle w:val="45"/>
              <w:rPr>
                <w:rFonts w:eastAsia="仿宋" w:cs="Times New Roman"/>
                <w:sz w:val="21"/>
                <w:szCs w:val="21"/>
              </w:rPr>
            </w:pPr>
          </w:p>
        </w:tc>
        <w:tc>
          <w:tcPr>
            <w:tcW w:w="2141" w:type="dxa"/>
            <w:vAlign w:val="center"/>
          </w:tcPr>
          <w:p>
            <w:pPr>
              <w:pStyle w:val="45"/>
              <w:rPr>
                <w:rFonts w:eastAsia="仿宋" w:cs="Times New Roman"/>
                <w:sz w:val="21"/>
                <w:szCs w:val="21"/>
              </w:rPr>
            </w:pPr>
            <w:r>
              <w:rPr>
                <w:rFonts w:hint="eastAsia" w:eastAsia="仿宋" w:cs="Times New Roman"/>
                <w:sz w:val="21"/>
                <w:szCs w:val="21"/>
              </w:rPr>
              <w:t>取水口</w:t>
            </w:r>
          </w:p>
        </w:tc>
        <w:tc>
          <w:tcPr>
            <w:tcW w:w="992" w:type="dxa"/>
            <w:vAlign w:val="center"/>
          </w:tcPr>
          <w:p>
            <w:pPr>
              <w:pStyle w:val="45"/>
              <w:rPr>
                <w:rFonts w:eastAsia="仿宋" w:cs="Times New Roman"/>
                <w:sz w:val="21"/>
                <w:szCs w:val="21"/>
              </w:rPr>
            </w:pPr>
            <w:r>
              <w:rPr>
                <w:rFonts w:hint="eastAsia" w:eastAsia="仿宋" w:cs="Times New Roman"/>
                <w:sz w:val="21"/>
                <w:szCs w:val="21"/>
              </w:rPr>
              <w:t>处</w:t>
            </w:r>
          </w:p>
        </w:tc>
        <w:tc>
          <w:tcPr>
            <w:tcW w:w="709" w:type="dxa"/>
            <w:vAlign w:val="center"/>
          </w:tcPr>
          <w:p>
            <w:pPr>
              <w:pStyle w:val="45"/>
              <w:rPr>
                <w:rFonts w:eastAsia="仿宋" w:cs="Times New Roman"/>
                <w:sz w:val="21"/>
                <w:szCs w:val="21"/>
              </w:rPr>
            </w:pPr>
            <w:r>
              <w:rPr>
                <w:rFonts w:hint="eastAsia" w:eastAsia="仿宋" w:cs="Times New Roman"/>
                <w:sz w:val="21"/>
                <w:szCs w:val="21"/>
              </w:rPr>
              <w:t>1</w:t>
            </w:r>
          </w:p>
        </w:tc>
        <w:tc>
          <w:tcPr>
            <w:tcW w:w="1899" w:type="dxa"/>
            <w:vAlign w:val="center"/>
          </w:tcPr>
          <w:p>
            <w:pPr>
              <w:pStyle w:val="45"/>
              <w:rPr>
                <w:rFonts w:eastAsia="仿宋" w:cs="Times New Roman"/>
                <w:sz w:val="21"/>
                <w:szCs w:val="21"/>
              </w:rPr>
            </w:pPr>
          </w:p>
        </w:tc>
        <w:tc>
          <w:tcPr>
            <w:tcW w:w="783" w:type="dxa"/>
            <w:vAlign w:val="center"/>
          </w:tcPr>
          <w:p>
            <w:pPr>
              <w:pStyle w:val="45"/>
              <w:rPr>
                <w:rFonts w:eastAsia="仿宋" w:cs="Times New Roman"/>
                <w:sz w:val="21"/>
                <w:szCs w:val="21"/>
              </w:rPr>
            </w:pPr>
            <w:r>
              <w:rPr>
                <w:rFonts w:eastAsia="仿宋" w:cs="Times New Roman"/>
                <w:sz w:val="21"/>
                <w:szCs w:val="21"/>
              </w:rPr>
              <w:t>√</w:t>
            </w:r>
          </w:p>
        </w:tc>
        <w:tc>
          <w:tcPr>
            <w:tcW w:w="714" w:type="dxa"/>
            <w:vAlign w:val="center"/>
          </w:tcPr>
          <w:p>
            <w:pPr>
              <w:pStyle w:val="45"/>
              <w:rPr>
                <w:rFonts w:eastAsia="仿宋"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5" w:type="dxa"/>
            <w:vMerge w:val="continue"/>
            <w:vAlign w:val="center"/>
          </w:tcPr>
          <w:p>
            <w:pPr>
              <w:pStyle w:val="45"/>
              <w:rPr>
                <w:rFonts w:eastAsia="仿宋" w:cs="Times New Roman"/>
                <w:sz w:val="21"/>
                <w:szCs w:val="21"/>
              </w:rPr>
            </w:pPr>
          </w:p>
        </w:tc>
        <w:tc>
          <w:tcPr>
            <w:tcW w:w="875" w:type="dxa"/>
            <w:vMerge w:val="continue"/>
            <w:vAlign w:val="center"/>
          </w:tcPr>
          <w:p>
            <w:pPr>
              <w:pStyle w:val="45"/>
              <w:rPr>
                <w:rFonts w:eastAsia="仿宋" w:cs="Times New Roman"/>
                <w:sz w:val="21"/>
                <w:szCs w:val="21"/>
              </w:rPr>
            </w:pPr>
          </w:p>
        </w:tc>
        <w:tc>
          <w:tcPr>
            <w:tcW w:w="2141" w:type="dxa"/>
            <w:vAlign w:val="center"/>
          </w:tcPr>
          <w:p>
            <w:pPr>
              <w:pStyle w:val="45"/>
              <w:rPr>
                <w:rFonts w:eastAsia="仿宋" w:cs="Times New Roman"/>
                <w:sz w:val="21"/>
                <w:szCs w:val="21"/>
              </w:rPr>
            </w:pPr>
            <w:r>
              <w:rPr>
                <w:rFonts w:hint="eastAsia" w:eastAsia="仿宋" w:cs="Times New Roman"/>
                <w:sz w:val="21"/>
                <w:szCs w:val="21"/>
              </w:rPr>
              <w:t>村路修缮</w:t>
            </w:r>
          </w:p>
        </w:tc>
        <w:tc>
          <w:tcPr>
            <w:tcW w:w="992" w:type="dxa"/>
            <w:vAlign w:val="center"/>
          </w:tcPr>
          <w:p>
            <w:pPr>
              <w:pStyle w:val="45"/>
              <w:rPr>
                <w:rFonts w:eastAsia="仿宋" w:cs="Times New Roman"/>
                <w:sz w:val="21"/>
                <w:szCs w:val="21"/>
              </w:rPr>
            </w:pPr>
            <w:r>
              <w:rPr>
                <w:rFonts w:hint="eastAsia" w:eastAsia="仿宋" w:cs="Times New Roman"/>
                <w:sz w:val="21"/>
                <w:szCs w:val="21"/>
              </w:rPr>
              <w:t>公里</w:t>
            </w:r>
          </w:p>
        </w:tc>
        <w:tc>
          <w:tcPr>
            <w:tcW w:w="709" w:type="dxa"/>
            <w:vAlign w:val="center"/>
          </w:tcPr>
          <w:p>
            <w:pPr>
              <w:pStyle w:val="45"/>
              <w:rPr>
                <w:rFonts w:eastAsia="仿宋" w:cs="Times New Roman"/>
                <w:sz w:val="21"/>
                <w:szCs w:val="21"/>
              </w:rPr>
            </w:pPr>
            <w:r>
              <w:rPr>
                <w:rFonts w:hint="eastAsia" w:eastAsia="仿宋" w:cs="Times New Roman"/>
                <w:sz w:val="21"/>
                <w:szCs w:val="21"/>
              </w:rPr>
              <w:t>5</w:t>
            </w:r>
          </w:p>
        </w:tc>
        <w:tc>
          <w:tcPr>
            <w:tcW w:w="1899" w:type="dxa"/>
            <w:vAlign w:val="center"/>
          </w:tcPr>
          <w:p>
            <w:pPr>
              <w:pStyle w:val="45"/>
              <w:rPr>
                <w:rFonts w:eastAsia="仿宋" w:cs="Times New Roman"/>
                <w:sz w:val="21"/>
                <w:szCs w:val="21"/>
              </w:rPr>
            </w:pPr>
            <w:r>
              <w:rPr>
                <w:rFonts w:hint="eastAsia" w:eastAsia="仿宋" w:cs="Times New Roman"/>
                <w:sz w:val="21"/>
                <w:szCs w:val="21"/>
              </w:rPr>
              <w:t>新铺区域</w:t>
            </w:r>
          </w:p>
        </w:tc>
        <w:tc>
          <w:tcPr>
            <w:tcW w:w="783" w:type="dxa"/>
            <w:vAlign w:val="center"/>
          </w:tcPr>
          <w:p>
            <w:pPr>
              <w:pStyle w:val="45"/>
              <w:rPr>
                <w:rFonts w:eastAsia="仿宋" w:cs="Times New Roman"/>
                <w:sz w:val="21"/>
                <w:szCs w:val="21"/>
              </w:rPr>
            </w:pPr>
            <w:r>
              <w:rPr>
                <w:rFonts w:eastAsia="仿宋" w:cs="Times New Roman"/>
                <w:sz w:val="21"/>
                <w:szCs w:val="21"/>
              </w:rPr>
              <w:t>√</w:t>
            </w:r>
          </w:p>
        </w:tc>
        <w:tc>
          <w:tcPr>
            <w:tcW w:w="714" w:type="dxa"/>
            <w:vAlign w:val="center"/>
          </w:tcPr>
          <w:p>
            <w:pPr>
              <w:pStyle w:val="45"/>
              <w:rPr>
                <w:rFonts w:eastAsia="仿宋" w:cs="Times New Roman"/>
                <w:sz w:val="21"/>
                <w:szCs w:val="21"/>
              </w:rPr>
            </w:pPr>
          </w:p>
        </w:tc>
      </w:tr>
    </w:tbl>
    <w:p>
      <w:pPr>
        <w:pStyle w:val="4"/>
        <w:numPr>
          <w:ilvl w:val="0"/>
          <w:numId w:val="83"/>
        </w:numPr>
        <w:spacing w:after="395"/>
        <w:ind w:left="0" w:firstLine="0"/>
      </w:pPr>
      <w:bookmarkStart w:id="684" w:name="_Toc117114417"/>
      <w:bookmarkStart w:id="685" w:name="_Toc113925887"/>
      <w:bookmarkStart w:id="686" w:name="_Toc114084687"/>
      <w:bookmarkStart w:id="687" w:name="_Toc113925635"/>
      <w:bookmarkStart w:id="688" w:name="_Toc10744"/>
      <w:bookmarkStart w:id="689" w:name="_Toc23781"/>
      <w:r>
        <w:rPr>
          <w:rFonts w:hint="eastAsia"/>
        </w:rPr>
        <w:t>土地利用规划</w:t>
      </w:r>
      <w:bookmarkEnd w:id="684"/>
      <w:bookmarkEnd w:id="685"/>
      <w:bookmarkEnd w:id="686"/>
      <w:bookmarkEnd w:id="687"/>
      <w:bookmarkEnd w:id="688"/>
      <w:bookmarkEnd w:id="689"/>
    </w:p>
    <w:p>
      <w:pPr>
        <w:pStyle w:val="5"/>
        <w:numPr>
          <w:ilvl w:val="1"/>
          <w:numId w:val="83"/>
        </w:numPr>
        <w:spacing w:before="197"/>
      </w:pPr>
      <w:bookmarkStart w:id="690" w:name="_Toc20457"/>
      <w:bookmarkStart w:id="691" w:name="_Toc117114418"/>
      <w:bookmarkStart w:id="692" w:name="_Toc113925636"/>
      <w:bookmarkStart w:id="693" w:name="_Toc23526"/>
      <w:bookmarkStart w:id="694" w:name="_Toc113925888"/>
      <w:bookmarkStart w:id="695" w:name="_Toc114084688"/>
      <w:r>
        <w:rPr>
          <w:rFonts w:hint="eastAsia"/>
        </w:rPr>
        <w:t>土地利用现状</w:t>
      </w:r>
      <w:bookmarkEnd w:id="690"/>
      <w:bookmarkEnd w:id="691"/>
      <w:bookmarkEnd w:id="692"/>
      <w:bookmarkEnd w:id="693"/>
      <w:bookmarkEnd w:id="694"/>
      <w:bookmarkEnd w:id="695"/>
    </w:p>
    <w:p>
      <w:pPr>
        <w:ind w:firstLine="560"/>
        <w:rPr>
          <w:rFonts w:cs="Times New Roman"/>
        </w:rPr>
      </w:pPr>
      <w:r>
        <w:rPr>
          <w:rFonts w:hint="eastAsia" w:cs="Times New Roman"/>
        </w:rPr>
        <w:t>仙阳湖国家湿地公园土地资源的特点是：境内地势属低山丘陵区，库区水面宽阔，拥有丰富的水文景观、地貌景观、人文景观和森林景观。</w:t>
      </w:r>
    </w:p>
    <w:p>
      <w:pPr>
        <w:widowControl/>
        <w:ind w:firstLine="560"/>
        <w:rPr>
          <w:rFonts w:cs="Times New Roman"/>
        </w:rPr>
      </w:pPr>
      <w:r>
        <w:rPr>
          <w:rFonts w:hint="eastAsia" w:cs="Times New Roman"/>
        </w:rPr>
        <w:t>本次调整后仙阳湖国家湿地公园</w:t>
      </w:r>
      <w:r>
        <w:rPr>
          <w:rFonts w:cs="Times New Roman"/>
        </w:rPr>
        <w:t>土地总面积9386.58公顷，土地权属为国有和集体</w:t>
      </w:r>
      <w:r>
        <w:rPr>
          <w:rFonts w:hint="eastAsia" w:cs="Times New Roman"/>
        </w:rPr>
        <w:t>。其中湿地面积中水库</w:t>
      </w:r>
      <w:r>
        <w:rPr>
          <w:rFonts w:cs="Times New Roman"/>
        </w:rPr>
        <w:t>水面、</w:t>
      </w:r>
      <w:r>
        <w:rPr>
          <w:rFonts w:hint="eastAsia" w:cs="Times New Roman"/>
        </w:rPr>
        <w:t>河流</w:t>
      </w:r>
      <w:r>
        <w:rPr>
          <w:rFonts w:cs="Times New Roman"/>
        </w:rPr>
        <w:t>水面、内陆滩涂</w:t>
      </w:r>
      <w:r>
        <w:rPr>
          <w:rFonts w:hint="eastAsia" w:cs="Times New Roman"/>
        </w:rPr>
        <w:t>、森林沼泽权属为国有土地，林地为国有土地，其他各类面积均为集体，湿地公园内土地保护管理权归湖南石门仙阳湖国家湿地公园管理处。</w:t>
      </w:r>
      <w:r>
        <w:rPr>
          <w:rFonts w:cs="Times New Roman"/>
          <w:lang w:bidi="ar"/>
        </w:rPr>
        <w:t>土地总</w:t>
      </w:r>
      <w:r>
        <w:rPr>
          <w:rFonts w:hint="eastAsia" w:cs="Times New Roman"/>
          <w:lang w:bidi="ar"/>
        </w:rPr>
        <w:t>面积</w:t>
      </w:r>
      <w:r>
        <w:rPr>
          <w:rFonts w:cs="Times New Roman"/>
        </w:rPr>
        <w:t>9386.58</w:t>
      </w:r>
      <w:r>
        <w:rPr>
          <w:rFonts w:hint="eastAsia" w:cs="Times New Roman"/>
          <w:lang w:bidi="ar"/>
        </w:rPr>
        <w:t>公顷，</w:t>
      </w:r>
      <w:r>
        <w:rPr>
          <w:rFonts w:cs="Times New Roman"/>
          <w:szCs w:val="28"/>
          <w:lang w:val="zh-TW" w:bidi="ar"/>
        </w:rPr>
        <w:t>依据《国土空间调查、规划、用途管制用地用海分类指南（试行）》（</w:t>
      </w:r>
      <w:r>
        <w:rPr>
          <w:rFonts w:hint="eastAsia" w:cs="Times New Roman"/>
          <w:szCs w:val="28"/>
          <w:lang w:val="zh-TW" w:bidi="ar"/>
        </w:rPr>
        <w:t>自然资办发〔2020〕51号</w:t>
      </w:r>
      <w:r>
        <w:rPr>
          <w:rFonts w:cs="Times New Roman"/>
          <w:szCs w:val="28"/>
          <w:lang w:val="zh-TW" w:bidi="ar"/>
        </w:rPr>
        <w:t>）</w:t>
      </w:r>
      <w:r>
        <w:rPr>
          <w:rFonts w:hint="eastAsia" w:cs="Times New Roman"/>
          <w:szCs w:val="28"/>
          <w:lang w:val="zh-TW" w:bidi="ar"/>
        </w:rPr>
        <w:t>和国土三调数据</w:t>
      </w:r>
      <w:r>
        <w:rPr>
          <w:rFonts w:hint="eastAsia" w:cs="Times New Roman"/>
          <w:szCs w:val="28"/>
          <w:lang w:bidi="ar"/>
        </w:rPr>
        <w:t>分析</w:t>
      </w:r>
      <w:r>
        <w:rPr>
          <w:rFonts w:hint="eastAsia" w:cs="Times New Roman"/>
          <w:lang w:bidi="ar"/>
        </w:rPr>
        <w:t>：耕地</w:t>
      </w:r>
      <w:r>
        <w:rPr>
          <w:rFonts w:cs="Times New Roman"/>
        </w:rPr>
        <w:t>99.09</w:t>
      </w:r>
      <w:r>
        <w:rPr>
          <w:rFonts w:hint="eastAsia" w:cs="Times New Roman"/>
          <w:lang w:bidi="ar"/>
        </w:rPr>
        <w:t>公顷，园地</w:t>
      </w:r>
      <w:r>
        <w:rPr>
          <w:rFonts w:cs="Times New Roman"/>
        </w:rPr>
        <w:t>97.44</w:t>
      </w:r>
      <w:r>
        <w:rPr>
          <w:rFonts w:hint="eastAsia" w:cs="Times New Roman"/>
          <w:lang w:bidi="ar"/>
        </w:rPr>
        <w:t>公顷，林地</w:t>
      </w:r>
      <w:r>
        <w:rPr>
          <w:rFonts w:cs="Times New Roman"/>
        </w:rPr>
        <w:t>4208.1</w:t>
      </w:r>
      <w:r>
        <w:rPr>
          <w:rFonts w:hint="eastAsia" w:cs="Times New Roman"/>
          <w:lang w:bidi="ar"/>
        </w:rPr>
        <w:t>公顷，湿地</w:t>
      </w:r>
      <w:r>
        <w:rPr>
          <w:rFonts w:cs="Times New Roman"/>
          <w:lang w:bidi="ar"/>
        </w:rPr>
        <w:t>1249.6</w:t>
      </w:r>
      <w:r>
        <w:rPr>
          <w:rFonts w:hint="eastAsia" w:cs="Times New Roman"/>
          <w:lang w:bidi="ar"/>
        </w:rPr>
        <w:t>公顷，农业设施建设用地19.06公顷，草地</w:t>
      </w:r>
      <w:r>
        <w:rPr>
          <w:rFonts w:cs="Times New Roman"/>
        </w:rPr>
        <w:t>1.21</w:t>
      </w:r>
      <w:r>
        <w:rPr>
          <w:rFonts w:hint="eastAsia" w:cs="Times New Roman"/>
          <w:lang w:bidi="ar"/>
        </w:rPr>
        <w:t>公顷，</w:t>
      </w:r>
      <w:r>
        <w:rPr>
          <w:rFonts w:hint="eastAsia" w:cs="Times New Roman"/>
        </w:rPr>
        <w:t>商业服务业用地</w:t>
      </w:r>
      <w:r>
        <w:rPr>
          <w:rFonts w:cs="Times New Roman"/>
        </w:rPr>
        <w:t>1.26</w:t>
      </w:r>
      <w:r>
        <w:rPr>
          <w:rFonts w:hint="eastAsia" w:cs="Times New Roman"/>
        </w:rPr>
        <w:t>公顷，</w:t>
      </w:r>
      <w:r>
        <w:rPr>
          <w:rFonts w:hint="eastAsia" w:cs="Times New Roman"/>
          <w:lang w:bidi="ar"/>
        </w:rPr>
        <w:t>工矿用地5</w:t>
      </w:r>
      <w:r>
        <w:rPr>
          <w:rFonts w:cs="Times New Roman"/>
          <w:lang w:bidi="ar"/>
        </w:rPr>
        <w:t>.85</w:t>
      </w:r>
      <w:r>
        <w:rPr>
          <w:rFonts w:hint="eastAsia" w:cs="Times New Roman"/>
          <w:lang w:bidi="ar"/>
        </w:rPr>
        <w:t>公顷，住宅用地</w:t>
      </w:r>
      <w:r>
        <w:rPr>
          <w:rFonts w:cs="Times New Roman"/>
        </w:rPr>
        <w:t>10.86</w:t>
      </w:r>
      <w:r>
        <w:rPr>
          <w:rFonts w:hint="eastAsia" w:cs="Times New Roman"/>
          <w:lang w:bidi="ar"/>
        </w:rPr>
        <w:t>公顷，</w:t>
      </w:r>
      <w:r>
        <w:rPr>
          <w:rFonts w:hint="eastAsia" w:cs="Times New Roman"/>
        </w:rPr>
        <w:t>公共管理与公共服务用地</w:t>
      </w:r>
      <w:r>
        <w:rPr>
          <w:rFonts w:cs="Times New Roman"/>
        </w:rPr>
        <w:t>5.30</w:t>
      </w:r>
      <w:r>
        <w:rPr>
          <w:rFonts w:hint="eastAsia" w:cs="Times New Roman"/>
        </w:rPr>
        <w:t>公顷，</w:t>
      </w:r>
      <w:r>
        <w:rPr>
          <w:rFonts w:hint="eastAsia" w:cs="Times New Roman"/>
          <w:lang w:bidi="ar"/>
        </w:rPr>
        <w:t>特殊用地</w:t>
      </w:r>
      <w:r>
        <w:rPr>
          <w:rFonts w:cs="Times New Roman"/>
          <w:lang w:bidi="ar"/>
        </w:rPr>
        <w:t>0.72</w:t>
      </w:r>
      <w:r>
        <w:rPr>
          <w:rFonts w:hint="eastAsia" w:cs="Times New Roman"/>
          <w:lang w:bidi="ar"/>
        </w:rPr>
        <w:t>公顷，</w:t>
      </w:r>
      <w:r>
        <w:rPr>
          <w:rFonts w:hint="eastAsia" w:cs="Times New Roman"/>
        </w:rPr>
        <w:t>交通运输用地</w:t>
      </w:r>
      <w:r>
        <w:rPr>
          <w:rFonts w:cs="Times New Roman"/>
        </w:rPr>
        <w:t>28.39</w:t>
      </w:r>
      <w:r>
        <w:rPr>
          <w:rFonts w:hint="eastAsia" w:cs="Times New Roman"/>
        </w:rPr>
        <w:t>公顷，</w:t>
      </w:r>
      <w:r>
        <w:rPr>
          <w:rFonts w:hint="eastAsia" w:cs="Times New Roman"/>
          <w:lang w:bidi="ar"/>
        </w:rPr>
        <w:t>陆地水域</w:t>
      </w:r>
      <w:r>
        <w:rPr>
          <w:rFonts w:cs="Times New Roman"/>
        </w:rPr>
        <w:t>3658.25</w:t>
      </w:r>
      <w:r>
        <w:rPr>
          <w:rFonts w:hint="eastAsia" w:cs="Times New Roman"/>
          <w:lang w:bidi="ar"/>
        </w:rPr>
        <w:t>公顷，其他用地</w:t>
      </w:r>
      <w:r>
        <w:rPr>
          <w:rFonts w:hint="eastAsia" w:cs="Times New Roman"/>
        </w:rPr>
        <w:t>1.43</w:t>
      </w:r>
      <w:r>
        <w:rPr>
          <w:rFonts w:hint="eastAsia" w:cs="Times New Roman"/>
          <w:lang w:bidi="ar"/>
        </w:rPr>
        <w:t>公顷，仓储用地</w:t>
      </w:r>
      <w:r>
        <w:rPr>
          <w:rFonts w:cs="Times New Roman"/>
        </w:rPr>
        <w:t>0.01</w:t>
      </w:r>
      <w:r>
        <w:rPr>
          <w:rFonts w:hint="eastAsia" w:cs="Times New Roman"/>
          <w:lang w:bidi="ar"/>
        </w:rPr>
        <w:t>公顷，详见表13-1。</w:t>
      </w:r>
    </w:p>
    <w:p>
      <w:pPr>
        <w:ind w:firstLine="0" w:firstLineChars="0"/>
        <w:jc w:val="center"/>
        <w:rPr>
          <w:rFonts w:eastAsia="黑体" w:cs="Times New Roman"/>
          <w:sz w:val="24"/>
        </w:rPr>
      </w:pPr>
      <w:r>
        <w:rPr>
          <w:rFonts w:hint="eastAsia" w:eastAsia="黑体" w:cs="Times New Roman"/>
          <w:sz w:val="24"/>
        </w:rPr>
        <w:t>湿地公园土地利用现状地类情况表</w:t>
      </w:r>
    </w:p>
    <w:p>
      <w:pPr>
        <w:spacing w:line="240" w:lineRule="auto"/>
        <w:ind w:firstLine="0" w:firstLineChars="0"/>
        <w:jc w:val="left"/>
        <w:rPr>
          <w:rFonts w:eastAsia="黑体" w:cs="Times New Roman"/>
          <w:sz w:val="21"/>
          <w:szCs w:val="21"/>
        </w:rPr>
      </w:pPr>
      <w:r>
        <w:rPr>
          <w:rFonts w:hint="eastAsia" w:eastAsia="黑体" w:cs="Times New Roman"/>
          <w:sz w:val="21"/>
          <w:szCs w:val="21"/>
        </w:rPr>
        <w:t>表13-1</w:t>
      </w:r>
    </w:p>
    <w:tbl>
      <w:tblPr>
        <w:tblStyle w:val="32"/>
        <w:tblW w:w="8801" w:type="dxa"/>
        <w:jc w:val="center"/>
        <w:tblLayout w:type="fixed"/>
        <w:tblCellMar>
          <w:top w:w="0" w:type="dxa"/>
          <w:left w:w="108" w:type="dxa"/>
          <w:bottom w:w="0" w:type="dxa"/>
          <w:right w:w="108" w:type="dxa"/>
        </w:tblCellMar>
      </w:tblPr>
      <w:tblGrid>
        <w:gridCol w:w="842"/>
        <w:gridCol w:w="1981"/>
        <w:gridCol w:w="2256"/>
        <w:gridCol w:w="2040"/>
        <w:gridCol w:w="1682"/>
      </w:tblGrid>
      <w:tr>
        <w:tblPrEx>
          <w:tblCellMar>
            <w:top w:w="0" w:type="dxa"/>
            <w:left w:w="108" w:type="dxa"/>
            <w:bottom w:w="0" w:type="dxa"/>
            <w:right w:w="108" w:type="dxa"/>
          </w:tblCellMar>
        </w:tblPrEx>
        <w:trPr>
          <w:trHeight w:val="454" w:hRule="atLeast"/>
          <w:jc w:val="center"/>
        </w:trPr>
        <w:tc>
          <w:tcPr>
            <w:tcW w:w="84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b/>
                <w:bCs/>
                <w:color w:val="000000"/>
                <w:kern w:val="0"/>
                <w:sz w:val="21"/>
                <w:szCs w:val="21"/>
                <w:lang w:bidi="ar"/>
              </w:rPr>
            </w:pPr>
            <w:r>
              <w:rPr>
                <w:rFonts w:hint="eastAsia" w:cs="Times New Roman"/>
                <w:b/>
                <w:bCs/>
                <w:color w:val="000000"/>
                <w:kern w:val="0"/>
                <w:sz w:val="21"/>
                <w:szCs w:val="21"/>
                <w:lang w:bidi="ar"/>
              </w:rPr>
              <w:t>序号</w:t>
            </w:r>
          </w:p>
        </w:tc>
        <w:tc>
          <w:tcPr>
            <w:tcW w:w="4237"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b/>
                <w:bCs/>
                <w:color w:val="000000"/>
                <w:kern w:val="0"/>
                <w:sz w:val="21"/>
                <w:szCs w:val="21"/>
                <w:lang w:bidi="ar"/>
              </w:rPr>
            </w:pPr>
            <w:r>
              <w:rPr>
                <w:rFonts w:hint="eastAsia" w:cs="Times New Roman"/>
                <w:b/>
                <w:bCs/>
                <w:color w:val="000000"/>
                <w:kern w:val="0"/>
                <w:sz w:val="21"/>
                <w:szCs w:val="21"/>
                <w:lang w:bidi="ar"/>
              </w:rPr>
              <w:t>用地用海分类</w:t>
            </w:r>
          </w:p>
        </w:tc>
        <w:tc>
          <w:tcPr>
            <w:tcW w:w="2040" w:type="dxa"/>
            <w:vMerge w:val="restart"/>
            <w:tcBorders>
              <w:top w:val="single" w:color="000000" w:sz="4" w:space="0"/>
              <w:left w:val="single" w:color="000000" w:sz="4" w:space="0"/>
              <w:right w:val="single" w:color="auto" w:sz="4" w:space="0"/>
            </w:tcBorders>
            <w:shd w:val="clear" w:color="auto" w:fill="auto"/>
            <w:noWrap/>
            <w:vAlign w:val="center"/>
          </w:tcPr>
          <w:p>
            <w:pPr>
              <w:widowControl/>
              <w:spacing w:line="240" w:lineRule="auto"/>
              <w:ind w:firstLine="0" w:firstLineChars="0"/>
              <w:jc w:val="center"/>
              <w:textAlignment w:val="top"/>
              <w:rPr>
                <w:rFonts w:cs="Times New Roman"/>
                <w:b/>
                <w:bCs/>
                <w:color w:val="000000"/>
                <w:kern w:val="0"/>
                <w:sz w:val="21"/>
                <w:szCs w:val="21"/>
                <w:lang w:bidi="ar"/>
              </w:rPr>
            </w:pPr>
            <w:r>
              <w:rPr>
                <w:rFonts w:hint="eastAsia" w:cs="Times New Roman"/>
                <w:b/>
                <w:bCs/>
                <w:color w:val="000000"/>
                <w:kern w:val="0"/>
                <w:sz w:val="21"/>
                <w:szCs w:val="21"/>
                <w:lang w:bidi="ar"/>
              </w:rPr>
              <w:t>面积</w:t>
            </w:r>
          </w:p>
          <w:p>
            <w:pPr>
              <w:widowControl/>
              <w:spacing w:line="240" w:lineRule="auto"/>
              <w:ind w:firstLine="0" w:firstLineChars="0"/>
              <w:jc w:val="center"/>
              <w:textAlignment w:val="top"/>
              <w:rPr>
                <w:rFonts w:cs="Times New Roman"/>
                <w:b/>
                <w:bCs/>
                <w:color w:val="000000"/>
                <w:kern w:val="0"/>
                <w:sz w:val="21"/>
                <w:szCs w:val="21"/>
                <w:lang w:bidi="ar"/>
              </w:rPr>
            </w:pPr>
            <w:r>
              <w:rPr>
                <w:rFonts w:hint="eastAsia" w:cs="Times New Roman"/>
                <w:b/>
                <w:bCs/>
                <w:color w:val="000000"/>
                <w:kern w:val="0"/>
                <w:sz w:val="21"/>
                <w:szCs w:val="21"/>
                <w:lang w:bidi="ar"/>
              </w:rPr>
              <w:t>（公顷）</w:t>
            </w:r>
          </w:p>
        </w:tc>
        <w:tc>
          <w:tcPr>
            <w:tcW w:w="1682" w:type="dxa"/>
            <w:vMerge w:val="restart"/>
            <w:tcBorders>
              <w:top w:val="single" w:color="000000" w:sz="4" w:space="0"/>
              <w:left w:val="single" w:color="auto"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b/>
                <w:bCs/>
                <w:color w:val="000000"/>
                <w:kern w:val="0"/>
                <w:sz w:val="21"/>
                <w:szCs w:val="21"/>
                <w:lang w:bidi="ar"/>
              </w:rPr>
            </w:pPr>
            <w:r>
              <w:rPr>
                <w:rFonts w:hint="eastAsia" w:cs="Times New Roman"/>
                <w:b/>
                <w:bCs/>
                <w:color w:val="000000"/>
                <w:kern w:val="0"/>
                <w:sz w:val="21"/>
                <w:szCs w:val="21"/>
                <w:lang w:bidi="ar"/>
              </w:rPr>
              <w:t>占总面积比例</w:t>
            </w:r>
          </w:p>
          <w:p>
            <w:pPr>
              <w:widowControl/>
              <w:spacing w:line="240" w:lineRule="auto"/>
              <w:ind w:firstLine="0" w:firstLineChars="0"/>
              <w:jc w:val="center"/>
              <w:textAlignment w:val="top"/>
              <w:rPr>
                <w:rFonts w:cs="Times New Roman"/>
                <w:b/>
                <w:bCs/>
                <w:color w:val="000000"/>
                <w:kern w:val="0"/>
                <w:sz w:val="21"/>
                <w:szCs w:val="21"/>
                <w:lang w:bidi="ar"/>
              </w:rPr>
            </w:pPr>
            <w:r>
              <w:rPr>
                <w:rFonts w:hint="eastAsia" w:cs="Times New Roman"/>
                <w:b/>
                <w:bCs/>
                <w:color w:val="000000"/>
                <w:kern w:val="0"/>
                <w:sz w:val="21"/>
                <w:szCs w:val="21"/>
                <w:lang w:bidi="ar"/>
              </w:rPr>
              <w:t>（%）</w:t>
            </w:r>
          </w:p>
        </w:tc>
      </w:tr>
      <w:tr>
        <w:tblPrEx>
          <w:tblCellMar>
            <w:top w:w="0" w:type="dxa"/>
            <w:left w:w="108" w:type="dxa"/>
            <w:bottom w:w="0" w:type="dxa"/>
            <w:right w:w="108" w:type="dxa"/>
          </w:tblCellMar>
        </w:tblPrEx>
        <w:trPr>
          <w:trHeight w:val="454" w:hRule="atLeast"/>
          <w:jc w:val="center"/>
        </w:trPr>
        <w:tc>
          <w:tcPr>
            <w:tcW w:w="84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b/>
                <w:bCs/>
                <w:color w:val="000000"/>
                <w:kern w:val="0"/>
                <w:sz w:val="21"/>
                <w:szCs w:val="21"/>
                <w:lang w:bidi="ar"/>
              </w:rPr>
            </w:pPr>
          </w:p>
        </w:tc>
        <w:tc>
          <w:tcPr>
            <w:tcW w:w="1981"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b/>
                <w:bCs/>
                <w:color w:val="000000"/>
                <w:kern w:val="0"/>
                <w:sz w:val="21"/>
                <w:szCs w:val="21"/>
                <w:lang w:bidi="ar"/>
              </w:rPr>
            </w:pPr>
            <w:r>
              <w:rPr>
                <w:rFonts w:hint="eastAsia" w:cs="Times New Roman"/>
                <w:b/>
                <w:bCs/>
                <w:color w:val="000000"/>
                <w:kern w:val="0"/>
                <w:sz w:val="21"/>
                <w:szCs w:val="21"/>
                <w:lang w:bidi="ar"/>
              </w:rPr>
              <w:t>一级地类</w:t>
            </w:r>
          </w:p>
        </w:tc>
        <w:tc>
          <w:tcPr>
            <w:tcW w:w="2256"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b/>
                <w:bCs/>
                <w:color w:val="000000"/>
                <w:kern w:val="0"/>
                <w:sz w:val="21"/>
                <w:szCs w:val="21"/>
                <w:lang w:bidi="ar"/>
              </w:rPr>
            </w:pPr>
            <w:r>
              <w:rPr>
                <w:rFonts w:hint="eastAsia" w:cs="Times New Roman"/>
                <w:b/>
                <w:bCs/>
                <w:color w:val="000000"/>
                <w:kern w:val="0"/>
                <w:sz w:val="21"/>
                <w:szCs w:val="21"/>
                <w:lang w:bidi="ar"/>
              </w:rPr>
              <w:t>二级地类</w:t>
            </w:r>
          </w:p>
        </w:tc>
        <w:tc>
          <w:tcPr>
            <w:tcW w:w="2040" w:type="dxa"/>
            <w:vMerge w:val="continue"/>
            <w:tcBorders>
              <w:left w:val="single" w:color="000000" w:sz="4" w:space="0"/>
              <w:bottom w:val="single" w:color="000000" w:sz="4" w:space="0"/>
              <w:right w:val="single" w:color="auto" w:sz="4" w:space="0"/>
            </w:tcBorders>
            <w:shd w:val="clear" w:color="auto" w:fill="auto"/>
            <w:vAlign w:val="center"/>
          </w:tcPr>
          <w:p>
            <w:pPr>
              <w:widowControl/>
              <w:spacing w:line="240" w:lineRule="auto"/>
              <w:ind w:firstLine="0" w:firstLineChars="0"/>
              <w:jc w:val="center"/>
              <w:textAlignment w:val="top"/>
              <w:rPr>
                <w:rFonts w:cs="Times New Roman"/>
                <w:b/>
                <w:bCs/>
                <w:color w:val="000000"/>
                <w:kern w:val="0"/>
                <w:sz w:val="21"/>
                <w:szCs w:val="21"/>
                <w:lang w:bidi="ar"/>
              </w:rPr>
            </w:pPr>
          </w:p>
        </w:tc>
        <w:tc>
          <w:tcPr>
            <w:tcW w:w="1682" w:type="dxa"/>
            <w:vMerge w:val="continue"/>
            <w:tcBorders>
              <w:left w:val="single" w:color="auto"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b/>
                <w:bCs/>
                <w:color w:val="000000"/>
                <w:kern w:val="0"/>
                <w:sz w:val="21"/>
                <w:szCs w:val="21"/>
                <w:lang w:bidi="ar"/>
              </w:rPr>
            </w:pP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w:t>
            </w:r>
          </w:p>
        </w:tc>
        <w:tc>
          <w:tcPr>
            <w:tcW w:w="198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耕地</w:t>
            </w: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水田</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62.59</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0.67</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2</w:t>
            </w:r>
          </w:p>
        </w:tc>
        <w:tc>
          <w:tcPr>
            <w:tcW w:w="198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旱地</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36.5</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0.39</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3</w:t>
            </w:r>
          </w:p>
        </w:tc>
        <w:tc>
          <w:tcPr>
            <w:tcW w:w="198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园地</w:t>
            </w: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果园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97.06</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1.03</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4</w:t>
            </w:r>
          </w:p>
        </w:tc>
        <w:tc>
          <w:tcPr>
            <w:tcW w:w="198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茶园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0.01</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5</w:t>
            </w:r>
          </w:p>
        </w:tc>
        <w:tc>
          <w:tcPr>
            <w:tcW w:w="198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其他园地</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0.37</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6</w:t>
            </w:r>
          </w:p>
        </w:tc>
        <w:tc>
          <w:tcPr>
            <w:tcW w:w="198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林地</w:t>
            </w: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乔木林地</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1451.07</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15.46</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7</w:t>
            </w:r>
          </w:p>
        </w:tc>
        <w:tc>
          <w:tcPr>
            <w:tcW w:w="198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灌木林地</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1586.75</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16.9</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8</w:t>
            </w:r>
          </w:p>
        </w:tc>
        <w:tc>
          <w:tcPr>
            <w:tcW w:w="198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其他林地</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1169.31</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12.46</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9</w:t>
            </w:r>
          </w:p>
        </w:tc>
        <w:tc>
          <w:tcPr>
            <w:tcW w:w="198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竹林地</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0.97</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0.01</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10</w:t>
            </w:r>
          </w:p>
        </w:tc>
        <w:tc>
          <w:tcPr>
            <w:tcW w:w="198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湿地</w:t>
            </w: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内陆滩涂</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1232.73</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13.13</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11</w:t>
            </w:r>
          </w:p>
        </w:tc>
        <w:tc>
          <w:tcPr>
            <w:tcW w:w="198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森林沼泽</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16.87</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0.18</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12</w:t>
            </w:r>
          </w:p>
        </w:tc>
        <w:tc>
          <w:tcPr>
            <w:tcW w:w="1981" w:type="dxa"/>
            <w:vMerge w:val="restart"/>
            <w:tcBorders>
              <w:top w:val="single" w:color="000000" w:sz="4" w:space="0"/>
              <w:left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农业设施建设用地</w:t>
            </w: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农村道路</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12.77</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0.14</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13</w:t>
            </w:r>
          </w:p>
        </w:tc>
        <w:tc>
          <w:tcPr>
            <w:tcW w:w="1981" w:type="dxa"/>
            <w:vMerge w:val="continue"/>
            <w:tcBorders>
              <w:left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设施农用地</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0.88</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0.01</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14</w:t>
            </w:r>
          </w:p>
        </w:tc>
        <w:tc>
          <w:tcPr>
            <w:tcW w:w="1981" w:type="dxa"/>
            <w:vMerge w:val="continue"/>
            <w:tcBorders>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养殖坑塘</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5.41</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0.06</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15</w:t>
            </w:r>
          </w:p>
        </w:tc>
        <w:tc>
          <w:tcPr>
            <w:tcW w:w="1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草地</w:t>
            </w: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其他草地</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1.22</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0.01</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16</w:t>
            </w:r>
          </w:p>
        </w:tc>
        <w:tc>
          <w:tcPr>
            <w:tcW w:w="1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商业服务业用地</w:t>
            </w: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商业服务业设施用地</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1.26</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0.01</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17</w:t>
            </w:r>
          </w:p>
        </w:tc>
        <w:tc>
          <w:tcPr>
            <w:tcW w:w="198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工矿用地</w:t>
            </w: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采矿用地</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5.54</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0.06</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18</w:t>
            </w:r>
          </w:p>
        </w:tc>
        <w:tc>
          <w:tcPr>
            <w:tcW w:w="198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工业用地</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0.31</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19</w:t>
            </w:r>
          </w:p>
        </w:tc>
        <w:tc>
          <w:tcPr>
            <w:tcW w:w="198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住宅用地</w:t>
            </w: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城镇住宅用地</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0.01</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20</w:t>
            </w:r>
          </w:p>
        </w:tc>
        <w:tc>
          <w:tcPr>
            <w:tcW w:w="198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农村宅基地</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10.85</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0.12</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21</w:t>
            </w:r>
          </w:p>
        </w:tc>
        <w:tc>
          <w:tcPr>
            <w:tcW w:w="198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公共管理与公共服务用地</w:t>
            </w: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公用设施用地</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0.24</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22</w:t>
            </w:r>
          </w:p>
        </w:tc>
        <w:tc>
          <w:tcPr>
            <w:tcW w:w="198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交通服务场站用地</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1.43</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0.01</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23</w:t>
            </w:r>
          </w:p>
        </w:tc>
        <w:tc>
          <w:tcPr>
            <w:tcW w:w="198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科教文卫用地</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0.34</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24</w:t>
            </w:r>
          </w:p>
        </w:tc>
        <w:tc>
          <w:tcPr>
            <w:tcW w:w="198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水工建筑用地</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3.29</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0.04</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25</w:t>
            </w:r>
          </w:p>
        </w:tc>
        <w:tc>
          <w:tcPr>
            <w:tcW w:w="1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特殊用地</w:t>
            </w: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特殊用地</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0.72</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0.01</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26</w:t>
            </w:r>
          </w:p>
        </w:tc>
        <w:tc>
          <w:tcPr>
            <w:tcW w:w="1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交通运输用地</w:t>
            </w: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公路用地</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28.39</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0.3</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27</w:t>
            </w:r>
          </w:p>
        </w:tc>
        <w:tc>
          <w:tcPr>
            <w:tcW w:w="198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陆地水域</w:t>
            </w: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沟渠</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8.04</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0.09</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28</w:t>
            </w:r>
          </w:p>
        </w:tc>
        <w:tc>
          <w:tcPr>
            <w:tcW w:w="198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水库水面</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3439.36</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36.64</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29</w:t>
            </w:r>
          </w:p>
        </w:tc>
        <w:tc>
          <w:tcPr>
            <w:tcW w:w="198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河流水面</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188.71</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2.01</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30</w:t>
            </w:r>
          </w:p>
        </w:tc>
        <w:tc>
          <w:tcPr>
            <w:tcW w:w="198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top"/>
              <w:rPr>
                <w:rFonts w:cs="Times New Roman"/>
                <w:color w:val="000000"/>
                <w:kern w:val="0"/>
                <w:sz w:val="21"/>
                <w:szCs w:val="21"/>
                <w:lang w:bidi="ar"/>
              </w:rPr>
            </w:pP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坑塘水面</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22.14</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0.24</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31</w:t>
            </w:r>
          </w:p>
        </w:tc>
        <w:tc>
          <w:tcPr>
            <w:tcW w:w="1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其他用地</w:t>
            </w: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裸岩石砾地</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1.43</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0.02</w:t>
            </w:r>
          </w:p>
        </w:tc>
      </w:tr>
      <w:tr>
        <w:tblPrEx>
          <w:tblCellMar>
            <w:top w:w="0" w:type="dxa"/>
            <w:left w:w="108" w:type="dxa"/>
            <w:bottom w:w="0" w:type="dxa"/>
            <w:right w:w="108" w:type="dxa"/>
          </w:tblCellMar>
        </w:tblPrEx>
        <w:trPr>
          <w:trHeight w:val="454"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32</w:t>
            </w:r>
          </w:p>
        </w:tc>
        <w:tc>
          <w:tcPr>
            <w:tcW w:w="1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仓储用地</w:t>
            </w:r>
          </w:p>
        </w:tc>
        <w:tc>
          <w:tcPr>
            <w:tcW w:w="2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物流仓储用地</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0.01</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0</w:t>
            </w:r>
          </w:p>
        </w:tc>
      </w:tr>
      <w:tr>
        <w:tblPrEx>
          <w:tblCellMar>
            <w:top w:w="0" w:type="dxa"/>
            <w:left w:w="108" w:type="dxa"/>
            <w:bottom w:w="0" w:type="dxa"/>
            <w:right w:w="108" w:type="dxa"/>
          </w:tblCellMar>
        </w:tblPrEx>
        <w:trPr>
          <w:trHeight w:val="454" w:hRule="atLeast"/>
          <w:jc w:val="center"/>
        </w:trPr>
        <w:tc>
          <w:tcPr>
            <w:tcW w:w="5079"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总计</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9386.58</w:t>
            </w:r>
          </w:p>
        </w:tc>
        <w:tc>
          <w:tcPr>
            <w:tcW w:w="16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top"/>
              <w:rPr>
                <w:rFonts w:cs="Times New Roman"/>
                <w:color w:val="000000"/>
                <w:kern w:val="0"/>
                <w:sz w:val="21"/>
                <w:szCs w:val="21"/>
                <w:lang w:bidi="ar"/>
              </w:rPr>
            </w:pPr>
            <w:r>
              <w:rPr>
                <w:rFonts w:hint="eastAsia" w:cs="Times New Roman"/>
                <w:color w:val="000000"/>
                <w:kern w:val="0"/>
                <w:sz w:val="21"/>
                <w:szCs w:val="21"/>
                <w:lang w:bidi="ar"/>
              </w:rPr>
              <w:t>100</w:t>
            </w:r>
          </w:p>
        </w:tc>
      </w:tr>
    </w:tbl>
    <w:p>
      <w:pPr>
        <w:spacing w:before="197" w:beforeLines="50"/>
        <w:ind w:firstLine="560"/>
        <w:rPr>
          <w:rFonts w:cs="Times New Roman"/>
        </w:rPr>
      </w:pPr>
      <w:r>
        <w:rPr>
          <w:rFonts w:hint="eastAsia" w:cs="Times New Roman"/>
        </w:rPr>
        <w:t>从现有土地利用来看，仙阳湖国家湿地公园绝大部分为林地和湿地，森林覆盖率达</w:t>
      </w:r>
      <w:r>
        <w:rPr>
          <w:rFonts w:cs="Times New Roman"/>
        </w:rPr>
        <w:t>44.8</w:t>
      </w:r>
      <w:r>
        <w:rPr>
          <w:rFonts w:hint="eastAsia" w:cs="Times New Roman"/>
        </w:rPr>
        <w:t>3%，湿地率达</w:t>
      </w:r>
      <w:r>
        <w:rPr>
          <w:rFonts w:cs="Times New Roman"/>
        </w:rPr>
        <w:t>52.</w:t>
      </w:r>
      <w:r>
        <w:rPr>
          <w:rFonts w:hint="eastAsia" w:cs="Times New Roman"/>
        </w:rPr>
        <w:t>20%。湿地公园承担着下游区域居民用水安全，并同时具有保持水土、涵养水源、调节气候等生态功能。但是，由于公园内湿地和林地保护、修复力度不够，现有林地质量不高，生态功能欠佳；另外，公园内土地资源利用不充分，结构不尽合理。因此，为了满足仙阳湖国家湿地公园的建设需要，根据实际需要对现有土地利用方式进行适当调整，协调相关行业主管部门，优化土地利用规划，以促进公园健康发展。</w:t>
      </w:r>
    </w:p>
    <w:p>
      <w:pPr>
        <w:pStyle w:val="5"/>
        <w:numPr>
          <w:ilvl w:val="1"/>
          <w:numId w:val="83"/>
        </w:numPr>
        <w:spacing w:before="197"/>
      </w:pPr>
      <w:bookmarkStart w:id="696" w:name="_Toc117114419"/>
      <w:bookmarkStart w:id="697" w:name="_Toc26854"/>
      <w:bookmarkStart w:id="698" w:name="_Toc113925889"/>
      <w:bookmarkStart w:id="699" w:name="_Toc25563"/>
      <w:bookmarkStart w:id="700" w:name="_Toc113925637"/>
      <w:bookmarkStart w:id="701" w:name="_Toc114084689"/>
      <w:r>
        <w:rPr>
          <w:rFonts w:hint="eastAsia"/>
        </w:rPr>
        <w:t>居民点调控规划</w:t>
      </w:r>
      <w:bookmarkEnd w:id="696"/>
      <w:bookmarkEnd w:id="697"/>
      <w:bookmarkEnd w:id="698"/>
      <w:bookmarkEnd w:id="699"/>
      <w:bookmarkEnd w:id="700"/>
      <w:bookmarkEnd w:id="701"/>
    </w:p>
    <w:p>
      <w:pPr>
        <w:pStyle w:val="6"/>
        <w:numPr>
          <w:ilvl w:val="2"/>
          <w:numId w:val="83"/>
        </w:numPr>
      </w:pPr>
      <w:bookmarkStart w:id="702" w:name="_Toc113925638"/>
      <w:bookmarkStart w:id="703" w:name="_Toc113925890"/>
      <w:r>
        <w:rPr>
          <w:rFonts w:hint="eastAsia"/>
        </w:rPr>
        <w:t>居民点现状</w:t>
      </w:r>
      <w:bookmarkEnd w:id="702"/>
      <w:bookmarkEnd w:id="703"/>
    </w:p>
    <w:p>
      <w:pPr>
        <w:ind w:firstLine="560"/>
        <w:rPr>
          <w:rFonts w:cs="Times New Roman"/>
        </w:rPr>
      </w:pPr>
      <w:r>
        <w:rPr>
          <w:rFonts w:hint="eastAsia" w:cs="Times New Roman"/>
        </w:rPr>
        <w:t>湿地公园范围涉及石门县</w:t>
      </w:r>
      <w:r>
        <w:rPr>
          <w:rFonts w:cs="Times New Roman"/>
          <w:bCs/>
          <w:szCs w:val="28"/>
        </w:rPr>
        <w:t>雁池、磨市、</w:t>
      </w:r>
      <w:r>
        <w:rPr>
          <w:rFonts w:hint="eastAsia" w:cs="Times New Roman"/>
        </w:rPr>
        <w:t>维新、所街、白云、皂市、三圣、新铺8个乡镇的39个村，居住人口</w:t>
      </w:r>
      <w:r>
        <w:rPr>
          <w:rFonts w:cs="Times New Roman"/>
        </w:rPr>
        <w:t>177588</w:t>
      </w:r>
      <w:r>
        <w:rPr>
          <w:rFonts w:hint="eastAsia" w:cs="Times New Roman"/>
        </w:rPr>
        <w:t>人。</w:t>
      </w:r>
    </w:p>
    <w:p>
      <w:pPr>
        <w:pStyle w:val="6"/>
        <w:numPr>
          <w:ilvl w:val="2"/>
          <w:numId w:val="83"/>
        </w:numPr>
      </w:pPr>
      <w:bookmarkStart w:id="704" w:name="_Toc113925639"/>
      <w:bookmarkStart w:id="705" w:name="_Toc113925891"/>
      <w:r>
        <w:rPr>
          <w:rFonts w:hint="eastAsia"/>
        </w:rPr>
        <w:t>发展趋势</w:t>
      </w:r>
      <w:bookmarkEnd w:id="704"/>
      <w:bookmarkEnd w:id="705"/>
    </w:p>
    <w:p>
      <w:pPr>
        <w:pStyle w:val="47"/>
        <w:numPr>
          <w:ilvl w:val="0"/>
          <w:numId w:val="84"/>
        </w:numPr>
        <w:ind w:firstLineChars="0"/>
        <w:rPr>
          <w:rFonts w:cs="Times New Roman"/>
        </w:rPr>
      </w:pPr>
      <w:r>
        <w:rPr>
          <w:rFonts w:hint="eastAsia" w:cs="Times New Roman"/>
        </w:rPr>
        <w:t>人口数量与结构变化</w:t>
      </w:r>
    </w:p>
    <w:p>
      <w:pPr>
        <w:ind w:firstLine="560"/>
        <w:rPr>
          <w:rFonts w:cs="Times New Roman"/>
        </w:rPr>
      </w:pPr>
      <w:r>
        <w:rPr>
          <w:rFonts w:hint="eastAsia" w:cs="Times New Roman"/>
        </w:rPr>
        <w:t>在社会经济发展及旅游业的带动作用下，公园人口数量与结构将发生一定变化：在城镇化进程加速的社会大趋势下，村队外出务工的年轻人数量将增加，老人、妇女、儿童留守，劳动力数量势必有所下降，人口总数将基本持平。</w:t>
      </w:r>
    </w:p>
    <w:p>
      <w:pPr>
        <w:pStyle w:val="47"/>
        <w:numPr>
          <w:ilvl w:val="0"/>
          <w:numId w:val="84"/>
        </w:numPr>
        <w:ind w:firstLineChars="0"/>
        <w:rPr>
          <w:rFonts w:cs="Times New Roman"/>
        </w:rPr>
      </w:pPr>
      <w:r>
        <w:rPr>
          <w:rFonts w:hint="eastAsia" w:cs="Times New Roman"/>
        </w:rPr>
        <w:t>生产方式变化</w:t>
      </w:r>
    </w:p>
    <w:p>
      <w:pPr>
        <w:ind w:firstLine="560"/>
        <w:rPr>
          <w:rFonts w:cs="Times New Roman"/>
        </w:rPr>
      </w:pPr>
      <w:r>
        <w:rPr>
          <w:rFonts w:hint="eastAsia" w:cs="Times New Roman"/>
        </w:rPr>
        <w:t>因旅游业发展所带来的多种需求，从事传统农业的居民生产活动将出现分化，公园周边部分农业人口被旅游业的经济效益所吸引，将逐步转向旅游服务业等非农产业。</w:t>
      </w:r>
    </w:p>
    <w:p>
      <w:pPr>
        <w:pStyle w:val="6"/>
        <w:numPr>
          <w:ilvl w:val="2"/>
          <w:numId w:val="83"/>
        </w:numPr>
      </w:pPr>
      <w:bookmarkStart w:id="706" w:name="_Toc113925892"/>
      <w:bookmarkStart w:id="707" w:name="_Toc113925640"/>
      <w:r>
        <w:rPr>
          <w:rFonts w:hint="eastAsia"/>
        </w:rPr>
        <w:t>调控措施</w:t>
      </w:r>
      <w:bookmarkEnd w:id="706"/>
      <w:bookmarkEnd w:id="707"/>
    </w:p>
    <w:p>
      <w:pPr>
        <w:ind w:firstLine="560"/>
        <w:rPr>
          <w:rFonts w:cs="Times New Roman"/>
        </w:rPr>
      </w:pPr>
      <w:r>
        <w:rPr>
          <w:rFonts w:hint="eastAsia" w:cs="Times New Roman"/>
        </w:rPr>
        <w:t>保护和修复当地传统的民居建筑，借助仙阳湖优美的风景、独特的风情和魅力。随着养老健康、研学旅行、文化探访、艺术采风等新产业和新业态的发展，依托优势资源，发展替代生态提供了方向和路径。本规划期内，周边居民点将不再新增与扩建，调控规划拟采取以下措施：</w:t>
      </w:r>
    </w:p>
    <w:p>
      <w:pPr>
        <w:ind w:firstLine="560"/>
        <w:rPr>
          <w:rFonts w:cs="Times New Roman"/>
        </w:rPr>
      </w:pPr>
      <w:r>
        <w:rPr>
          <w:rFonts w:hint="eastAsia" w:cs="Times New Roman"/>
        </w:rPr>
        <w:t>（1）湿地公园内严禁规划房地产开发项目、工业项目、高尔夫球场、城镇建设和其他企事业单位用地、有碍景观的农业生产用地等破坏湿地的建设项目。</w:t>
      </w:r>
    </w:p>
    <w:p>
      <w:pPr>
        <w:ind w:firstLine="560"/>
        <w:rPr>
          <w:rFonts w:cs="Times New Roman"/>
        </w:rPr>
      </w:pPr>
      <w:r>
        <w:rPr>
          <w:rFonts w:hint="eastAsia" w:cs="Times New Roman"/>
        </w:rPr>
        <w:t>（2）湿地公园管理机构需向石门县人民政府提出呈请，严格做好湿地公园内社区居民点的调控工作。重点改善现有居民点的基础设施，提高生产生活条件，不再扩大湿地公园内居民点数量和占地规模。</w:t>
      </w:r>
    </w:p>
    <w:p>
      <w:pPr>
        <w:ind w:firstLine="560"/>
        <w:rPr>
          <w:rFonts w:cs="Times New Roman"/>
        </w:rPr>
      </w:pPr>
      <w:r>
        <w:rPr>
          <w:rFonts w:hint="eastAsia" w:cs="Times New Roman"/>
        </w:rPr>
        <w:t>（3）湿地公园管理机构根据实际需要骋请、吸收少量高素质居民参与湿地公园的保护管理和建设工作，引导其它居民参与生态旅游服务（农家乐、民宿等接待服务），扩大就业门路，确保周边社区居民安居乐业。</w:t>
      </w:r>
    </w:p>
    <w:p>
      <w:pPr>
        <w:pStyle w:val="5"/>
        <w:numPr>
          <w:ilvl w:val="1"/>
          <w:numId w:val="83"/>
        </w:numPr>
        <w:spacing w:before="197"/>
      </w:pPr>
      <w:bookmarkStart w:id="708" w:name="_Toc7027"/>
      <w:bookmarkStart w:id="709" w:name="_Toc117114420"/>
      <w:bookmarkStart w:id="710" w:name="_Toc113925641"/>
      <w:bookmarkStart w:id="711" w:name="_Toc113925893"/>
      <w:bookmarkStart w:id="712" w:name="_Toc26176"/>
      <w:bookmarkStart w:id="713" w:name="_Toc114084690"/>
      <w:r>
        <w:rPr>
          <w:rFonts w:hint="eastAsia"/>
        </w:rPr>
        <w:t>土地利用规划</w:t>
      </w:r>
      <w:bookmarkEnd w:id="708"/>
      <w:bookmarkEnd w:id="709"/>
      <w:bookmarkEnd w:id="710"/>
      <w:bookmarkEnd w:id="711"/>
      <w:bookmarkEnd w:id="712"/>
      <w:bookmarkEnd w:id="713"/>
    </w:p>
    <w:p>
      <w:pPr>
        <w:pStyle w:val="6"/>
        <w:numPr>
          <w:ilvl w:val="2"/>
          <w:numId w:val="85"/>
        </w:numPr>
      </w:pPr>
      <w:bookmarkStart w:id="714" w:name="_Toc113925642"/>
      <w:bookmarkStart w:id="715" w:name="_Toc113925894"/>
      <w:r>
        <w:rPr>
          <w:rFonts w:hint="eastAsia"/>
        </w:rPr>
        <w:t>基本思路</w:t>
      </w:r>
      <w:bookmarkEnd w:id="714"/>
      <w:bookmarkEnd w:id="715"/>
    </w:p>
    <w:p>
      <w:pPr>
        <w:ind w:firstLine="560"/>
        <w:rPr>
          <w:rFonts w:cs="Times New Roman"/>
        </w:rPr>
      </w:pPr>
      <w:r>
        <w:rPr>
          <w:rFonts w:hint="eastAsia" w:cs="Times New Roman"/>
        </w:rPr>
        <w:t>为了确保土地资源合理利用，应先充分考虑现有土地资源类型、权属特点和利用现状，根据湿地公园规划结构与景观设计要求，充分体现湿地资源保护特色，正确处理好保护与开发利用之间的关系，统筹规划、合理布局、科学调整，使公园内部土地资源利用结构达到水体、道路、植物、建筑等用地的最大协调和科学配置。</w:t>
      </w:r>
    </w:p>
    <w:p>
      <w:pPr>
        <w:pStyle w:val="6"/>
        <w:numPr>
          <w:ilvl w:val="2"/>
          <w:numId w:val="85"/>
        </w:numPr>
      </w:pPr>
      <w:bookmarkStart w:id="716" w:name="_Toc113925895"/>
      <w:bookmarkStart w:id="717" w:name="_Toc113925643"/>
      <w:r>
        <w:rPr>
          <w:rFonts w:hint="eastAsia"/>
        </w:rPr>
        <w:t>规划目标</w:t>
      </w:r>
      <w:bookmarkEnd w:id="716"/>
      <w:bookmarkEnd w:id="717"/>
    </w:p>
    <w:p>
      <w:pPr>
        <w:ind w:firstLine="560"/>
        <w:rPr>
          <w:rFonts w:cs="Times New Roman"/>
        </w:rPr>
      </w:pPr>
      <w:r>
        <w:rPr>
          <w:rFonts w:hint="eastAsia" w:cs="Times New Roman"/>
        </w:rPr>
        <w:t>根据仙阳湖国家湿地公园建设的需要与功能分区，通过调整土地利用功能，在保护湿地生态系统的前提下进行科普宣教、科研监测和适度的生态旅游，最终实现湿地公园</w:t>
      </w:r>
      <w:r>
        <w:rPr>
          <w:rFonts w:hint="eastAsia" w:ascii="仿宋" w:hAnsi="仿宋" w:cs="仿宋"/>
        </w:rPr>
        <w:t>“全面保护、科学修复、合理利用、持续发展”</w:t>
      </w:r>
      <w:r>
        <w:rPr>
          <w:rFonts w:hint="eastAsia" w:cs="Times New Roman"/>
        </w:rPr>
        <w:t>的目标。</w:t>
      </w:r>
    </w:p>
    <w:p>
      <w:pPr>
        <w:pStyle w:val="6"/>
        <w:numPr>
          <w:ilvl w:val="2"/>
          <w:numId w:val="85"/>
        </w:numPr>
      </w:pPr>
      <w:bookmarkStart w:id="718" w:name="_Toc113925896"/>
      <w:bookmarkStart w:id="719" w:name="_Toc113925644"/>
      <w:r>
        <w:rPr>
          <w:rFonts w:hint="eastAsia"/>
        </w:rPr>
        <w:t>规划方案</w:t>
      </w:r>
      <w:bookmarkEnd w:id="718"/>
      <w:bookmarkEnd w:id="719"/>
    </w:p>
    <w:p>
      <w:pPr>
        <w:ind w:firstLine="560"/>
        <w:rPr>
          <w:rFonts w:cs="Times New Roman"/>
        </w:rPr>
      </w:pPr>
      <w:r>
        <w:rPr>
          <w:rFonts w:hint="eastAsia" w:cs="Times New Roman"/>
        </w:rPr>
        <w:t>（1）严格保护湿地面积，提高湿地质量</w:t>
      </w:r>
    </w:p>
    <w:p>
      <w:pPr>
        <w:ind w:firstLine="560"/>
        <w:rPr>
          <w:rFonts w:cs="Times New Roman"/>
        </w:rPr>
      </w:pPr>
      <w:r>
        <w:rPr>
          <w:rFonts w:hint="eastAsia" w:cs="Times New Roman"/>
        </w:rPr>
        <w:t>湿地保护和恢复是湿地公园建设的首要任务。通过采取严格的措施，严格保护现有湿地面积，通过适度的恢复和修复措施，提高湿地的质量，为生物提供更好的生境。</w:t>
      </w:r>
    </w:p>
    <w:p>
      <w:pPr>
        <w:ind w:firstLine="560"/>
        <w:rPr>
          <w:rFonts w:cs="Times New Roman"/>
        </w:rPr>
      </w:pPr>
      <w:r>
        <w:rPr>
          <w:rFonts w:hint="eastAsia" w:cs="Times New Roman"/>
        </w:rPr>
        <w:t>（2）增加公共管理与服务用地，提高社会效益和经济效益</w:t>
      </w:r>
    </w:p>
    <w:p>
      <w:pPr>
        <w:ind w:firstLine="560"/>
        <w:rPr>
          <w:rFonts w:cs="Times New Roman"/>
        </w:rPr>
      </w:pPr>
      <w:r>
        <w:rPr>
          <w:rFonts w:hint="eastAsia" w:cs="Times New Roman"/>
        </w:rPr>
        <w:t>合理利用其他用地，树立湿地公园形象，提高湿地公园的管理服务水平。通过游客服务中心、湿地科普宣教中心（建设项目参考第7章）等建设，为湿地公园提供一个良好的湿地宣教展示平台，向社会大众更好地展示湿地公园，提高大众的湿地保护意识，更积极主动地参与到湿地公园的建设当中。</w:t>
      </w:r>
    </w:p>
    <w:p>
      <w:pPr>
        <w:pStyle w:val="16"/>
        <w:spacing w:after="0"/>
        <w:ind w:firstLine="560"/>
      </w:pPr>
      <w:r>
        <w:rPr>
          <w:rFonts w:hint="eastAsia"/>
        </w:rPr>
        <w:t>（3）严格遵守用地规则，严禁占用永久基本农田</w:t>
      </w:r>
    </w:p>
    <w:p>
      <w:pPr>
        <w:pStyle w:val="16"/>
        <w:spacing w:after="0"/>
        <w:ind w:firstLine="560"/>
      </w:pPr>
      <w:r>
        <w:rPr>
          <w:rFonts w:hint="eastAsia"/>
        </w:rPr>
        <w:t>本规划内涉及新建管理局、管理站、科研中心等构筑物，在项目立项阶段需聘请专业技术团队编制可行性研究报告，确定建设红线选址符合相关法律法规，严禁占用永久基本农田，在符合《自然资源部 生态环境部 国家林业和草原局关于加强生态保护红线管理的通知（试行）》（自然资发〔2022〕142号）的前提下，谨慎占用生态保护红线。</w:t>
      </w:r>
    </w:p>
    <w:p>
      <w:pPr>
        <w:pStyle w:val="16"/>
        <w:spacing w:after="0"/>
        <w:ind w:firstLine="560"/>
      </w:pPr>
      <w:r>
        <w:rPr>
          <w:rFonts w:hint="eastAsia"/>
        </w:rPr>
        <w:t>（4）科学选址，严守防洪安全底线</w:t>
      </w:r>
    </w:p>
    <w:p>
      <w:pPr>
        <w:pStyle w:val="16"/>
        <w:spacing w:after="0"/>
        <w:ind w:firstLine="560"/>
      </w:pPr>
      <w:r>
        <w:rPr>
          <w:rFonts w:hint="eastAsia"/>
        </w:rPr>
        <w:t>本规划内涉及的水源保护工程、水系连通工程、水质保护工程、消涨带修复工程、湿地视频监控系统、宣教中心、教育广场、宣教长廊、展示园、监测站点、旅游服务设施、管理基础设施等建设内容，项目实施前，必须考虑防洪要求，征求相关部门意见，满足《防洪法》《水利工程管理办法》《河道管理条例》等法律法规要求和皂市水库管理有关要求。</w:t>
      </w:r>
    </w:p>
    <w:p>
      <w:pPr>
        <w:pStyle w:val="6"/>
        <w:numPr>
          <w:ilvl w:val="2"/>
          <w:numId w:val="85"/>
        </w:numPr>
      </w:pPr>
      <w:bookmarkStart w:id="720" w:name="_Toc113925897"/>
      <w:bookmarkStart w:id="721" w:name="_Toc113925645"/>
      <w:r>
        <w:rPr>
          <w:rFonts w:hint="eastAsia"/>
        </w:rPr>
        <w:t>规划结果</w:t>
      </w:r>
      <w:bookmarkEnd w:id="720"/>
      <w:bookmarkEnd w:id="721"/>
    </w:p>
    <w:p>
      <w:pPr>
        <w:ind w:firstLine="560"/>
        <w:rPr>
          <w:rFonts w:cs="Times New Roman"/>
        </w:rPr>
      </w:pPr>
      <w:r>
        <w:rPr>
          <w:rFonts w:hint="eastAsia" w:cs="Times New Roman"/>
        </w:rPr>
        <w:t>通过规划调整之后，仙阳湖国家湿地公园土地利用类型主要有耕地、林地、公共管理与公共服务用地、水域及水利设施用地共四类，具体见表13-2。</w:t>
      </w:r>
    </w:p>
    <w:p>
      <w:pPr>
        <w:pStyle w:val="14"/>
        <w:keepNext/>
        <w:spacing w:before="0" w:beforeLines="0" w:after="0" w:afterLines="0" w:line="360" w:lineRule="auto"/>
        <w:rPr>
          <w:rFonts w:ascii="黑体" w:hAnsi="黑体" w:cs="黑体"/>
          <w:sz w:val="24"/>
          <w:szCs w:val="24"/>
        </w:rPr>
      </w:pPr>
      <w:r>
        <w:rPr>
          <w:rFonts w:hint="eastAsia" w:ascii="黑体" w:hAnsi="黑体" w:cs="黑体"/>
          <w:sz w:val="24"/>
          <w:szCs w:val="24"/>
        </w:rPr>
        <w:t>仙阳湖国家湿地公园土地利用平衡表</w:t>
      </w:r>
    </w:p>
    <w:p>
      <w:pPr>
        <w:spacing w:line="240" w:lineRule="auto"/>
        <w:ind w:firstLine="0" w:firstLineChars="0"/>
        <w:rPr>
          <w:rFonts w:cs="Times New Roman"/>
          <w:sz w:val="21"/>
          <w:szCs w:val="21"/>
        </w:rPr>
      </w:pPr>
      <w:r>
        <w:rPr>
          <w:rFonts w:hint="eastAsia" w:ascii="黑体" w:hAnsi="黑体" w:eastAsia="黑体" w:cs="黑体"/>
          <w:sz w:val="21"/>
          <w:szCs w:val="21"/>
        </w:rPr>
        <w:t>表</w:t>
      </w:r>
      <w:r>
        <w:rPr>
          <w:rFonts w:cs="Times New Roman"/>
          <w:sz w:val="21"/>
          <w:szCs w:val="21"/>
        </w:rPr>
        <w:fldChar w:fldCharType="begin"/>
      </w:r>
      <w:r>
        <w:rPr>
          <w:rFonts w:cs="Times New Roman"/>
          <w:sz w:val="21"/>
          <w:szCs w:val="21"/>
        </w:rPr>
        <w:instrText xml:space="preserve"> STYLEREF 1 \s </w:instrText>
      </w:r>
      <w:r>
        <w:rPr>
          <w:rFonts w:cs="Times New Roman"/>
          <w:sz w:val="21"/>
          <w:szCs w:val="21"/>
        </w:rPr>
        <w:fldChar w:fldCharType="separate"/>
      </w:r>
      <w:r>
        <w:rPr>
          <w:rFonts w:cs="Times New Roman"/>
          <w:sz w:val="21"/>
          <w:szCs w:val="21"/>
        </w:rPr>
        <w:t>13</w:t>
      </w:r>
      <w:r>
        <w:rPr>
          <w:rFonts w:cs="Times New Roman"/>
          <w:sz w:val="21"/>
          <w:szCs w:val="21"/>
        </w:rPr>
        <w:fldChar w:fldCharType="end"/>
      </w:r>
      <w:r>
        <w:rPr>
          <w:rFonts w:cs="Times New Roman"/>
          <w:sz w:val="21"/>
          <w:szCs w:val="21"/>
        </w:rPr>
        <w:noBreakHyphen/>
      </w:r>
      <w:r>
        <w:rPr>
          <w:rFonts w:hint="eastAsia" w:cs="Times New Roman"/>
          <w:sz w:val="21"/>
          <w:szCs w:val="21"/>
        </w:rPr>
        <w:t>2</w:t>
      </w:r>
      <w:r>
        <w:rPr>
          <w:rFonts w:cs="Times New Roman"/>
          <w:sz w:val="21"/>
          <w:szCs w:val="21"/>
        </w:rPr>
        <w:t xml:space="preserve">                                                                 </w:t>
      </w:r>
      <w:r>
        <w:rPr>
          <w:rFonts w:hint="eastAsia" w:cs="Times New Roman"/>
          <w:sz w:val="21"/>
          <w:szCs w:val="21"/>
        </w:rPr>
        <w:t>单位：公顷，%</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2"/>
        <w:gridCol w:w="3198"/>
        <w:gridCol w:w="1307"/>
        <w:gridCol w:w="1574"/>
        <w:gridCol w:w="1160"/>
        <w:gridCol w:w="11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6" w:type="pct"/>
            <w:shd w:val="clear" w:color="auto" w:fill="auto"/>
            <w:vAlign w:val="center"/>
          </w:tcPr>
          <w:p>
            <w:pPr>
              <w:pStyle w:val="44"/>
              <w:rPr>
                <w:rFonts w:eastAsia="仿宋" w:cs="Times New Roman"/>
                <w:szCs w:val="21"/>
              </w:rPr>
            </w:pPr>
            <w:r>
              <w:rPr>
                <w:rFonts w:eastAsia="仿宋" w:cs="Times New Roman"/>
                <w:szCs w:val="21"/>
              </w:rPr>
              <w:t>序号</w:t>
            </w:r>
          </w:p>
        </w:tc>
        <w:tc>
          <w:tcPr>
            <w:tcW w:w="1754" w:type="pct"/>
            <w:shd w:val="clear" w:color="auto" w:fill="auto"/>
            <w:vAlign w:val="center"/>
          </w:tcPr>
          <w:p>
            <w:pPr>
              <w:pStyle w:val="44"/>
              <w:rPr>
                <w:rFonts w:eastAsia="仿宋" w:cs="Times New Roman"/>
                <w:szCs w:val="21"/>
              </w:rPr>
            </w:pPr>
            <w:r>
              <w:rPr>
                <w:rFonts w:eastAsia="仿宋" w:cs="Times New Roman"/>
                <w:szCs w:val="21"/>
              </w:rPr>
              <w:t>土地利用类型</w:t>
            </w:r>
          </w:p>
        </w:tc>
        <w:tc>
          <w:tcPr>
            <w:tcW w:w="717" w:type="pct"/>
            <w:shd w:val="clear" w:color="auto" w:fill="auto"/>
            <w:vAlign w:val="center"/>
          </w:tcPr>
          <w:p>
            <w:pPr>
              <w:pStyle w:val="44"/>
              <w:rPr>
                <w:rFonts w:eastAsia="仿宋" w:cs="Times New Roman"/>
                <w:szCs w:val="21"/>
              </w:rPr>
            </w:pPr>
            <w:r>
              <w:rPr>
                <w:rFonts w:eastAsia="仿宋" w:cs="Times New Roman"/>
                <w:szCs w:val="21"/>
              </w:rPr>
              <w:t>面积</w:t>
            </w:r>
          </w:p>
        </w:tc>
        <w:tc>
          <w:tcPr>
            <w:tcW w:w="863" w:type="pct"/>
            <w:shd w:val="clear" w:color="auto" w:fill="auto"/>
            <w:vAlign w:val="center"/>
          </w:tcPr>
          <w:p>
            <w:pPr>
              <w:pStyle w:val="44"/>
              <w:rPr>
                <w:rFonts w:eastAsia="仿宋" w:cs="Times New Roman"/>
                <w:szCs w:val="21"/>
              </w:rPr>
            </w:pPr>
            <w:r>
              <w:rPr>
                <w:rFonts w:eastAsia="仿宋" w:cs="Times New Roman"/>
                <w:szCs w:val="21"/>
              </w:rPr>
              <w:t>占总面积比例</w:t>
            </w:r>
          </w:p>
        </w:tc>
        <w:tc>
          <w:tcPr>
            <w:tcW w:w="636" w:type="pct"/>
            <w:shd w:val="clear" w:color="auto" w:fill="auto"/>
            <w:vAlign w:val="center"/>
          </w:tcPr>
          <w:p>
            <w:pPr>
              <w:pStyle w:val="44"/>
              <w:rPr>
                <w:rFonts w:eastAsia="仿宋" w:cs="Times New Roman"/>
                <w:szCs w:val="21"/>
              </w:rPr>
            </w:pPr>
            <w:r>
              <w:rPr>
                <w:rFonts w:eastAsia="仿宋" w:cs="Times New Roman"/>
                <w:szCs w:val="21"/>
              </w:rPr>
              <w:t>规划面积</w:t>
            </w:r>
          </w:p>
        </w:tc>
        <w:tc>
          <w:tcPr>
            <w:tcW w:w="634" w:type="pct"/>
            <w:shd w:val="clear" w:color="auto" w:fill="auto"/>
            <w:vAlign w:val="center"/>
          </w:tcPr>
          <w:p>
            <w:pPr>
              <w:pStyle w:val="44"/>
              <w:rPr>
                <w:rFonts w:eastAsia="仿宋" w:cs="Times New Roman"/>
                <w:szCs w:val="21"/>
              </w:rPr>
            </w:pPr>
            <w:r>
              <w:rPr>
                <w:rFonts w:eastAsia="仿宋" w:cs="Times New Roman"/>
                <w:szCs w:val="21"/>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6" w:type="pct"/>
            <w:shd w:val="clear" w:color="auto" w:fill="auto"/>
            <w:vAlign w:val="center"/>
          </w:tcPr>
          <w:p>
            <w:pPr>
              <w:pStyle w:val="45"/>
              <w:rPr>
                <w:rFonts w:eastAsia="仿宋" w:cs="Times New Roman"/>
                <w:sz w:val="21"/>
                <w:szCs w:val="21"/>
              </w:rPr>
            </w:pPr>
            <w:r>
              <w:rPr>
                <w:rFonts w:eastAsia="仿宋" w:cs="Times New Roman"/>
                <w:sz w:val="21"/>
                <w:szCs w:val="21"/>
              </w:rPr>
              <w:t>1</w:t>
            </w:r>
          </w:p>
        </w:tc>
        <w:tc>
          <w:tcPr>
            <w:tcW w:w="1754"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耕地</w:t>
            </w:r>
          </w:p>
        </w:tc>
        <w:tc>
          <w:tcPr>
            <w:tcW w:w="717" w:type="pct"/>
            <w:shd w:val="clear" w:color="auto" w:fill="auto"/>
            <w:vAlign w:val="center"/>
          </w:tcPr>
          <w:p>
            <w:pPr>
              <w:pStyle w:val="45"/>
              <w:rPr>
                <w:rFonts w:eastAsia="仿宋" w:cs="Times New Roman"/>
                <w:sz w:val="21"/>
                <w:szCs w:val="21"/>
              </w:rPr>
            </w:pPr>
            <w:r>
              <w:rPr>
                <w:rFonts w:eastAsia="等线" w:cs="Times New Roman"/>
                <w:color w:val="000000"/>
                <w:sz w:val="21"/>
                <w:szCs w:val="21"/>
              </w:rPr>
              <w:t>99.09</w:t>
            </w:r>
          </w:p>
        </w:tc>
        <w:tc>
          <w:tcPr>
            <w:tcW w:w="863" w:type="pct"/>
            <w:shd w:val="clear" w:color="auto" w:fill="auto"/>
            <w:vAlign w:val="center"/>
          </w:tcPr>
          <w:p>
            <w:pPr>
              <w:pStyle w:val="45"/>
              <w:rPr>
                <w:rFonts w:eastAsia="仿宋" w:cs="Times New Roman"/>
                <w:sz w:val="21"/>
                <w:szCs w:val="21"/>
              </w:rPr>
            </w:pPr>
            <w:r>
              <w:rPr>
                <w:rFonts w:eastAsia="等线" w:cs="Times New Roman"/>
                <w:color w:val="000000"/>
                <w:sz w:val="21"/>
                <w:szCs w:val="21"/>
              </w:rPr>
              <w:t>1.06</w:t>
            </w:r>
          </w:p>
        </w:tc>
        <w:tc>
          <w:tcPr>
            <w:tcW w:w="636" w:type="pct"/>
            <w:shd w:val="clear" w:color="auto" w:fill="auto"/>
            <w:vAlign w:val="center"/>
          </w:tcPr>
          <w:p>
            <w:pPr>
              <w:pStyle w:val="45"/>
              <w:rPr>
                <w:rFonts w:eastAsia="仿宋" w:cs="Times New Roman"/>
                <w:sz w:val="21"/>
                <w:szCs w:val="21"/>
              </w:rPr>
            </w:pPr>
            <w:r>
              <w:rPr>
                <w:rFonts w:eastAsia="等线" w:cs="Times New Roman"/>
                <w:color w:val="000000"/>
                <w:sz w:val="21"/>
                <w:szCs w:val="21"/>
              </w:rPr>
              <w:t>99.09</w:t>
            </w:r>
          </w:p>
        </w:tc>
        <w:tc>
          <w:tcPr>
            <w:tcW w:w="634" w:type="pct"/>
            <w:shd w:val="clear" w:color="auto" w:fill="auto"/>
            <w:vAlign w:val="center"/>
          </w:tcPr>
          <w:p>
            <w:pPr>
              <w:pStyle w:val="45"/>
              <w:rPr>
                <w:rFonts w:eastAsia="仿宋" w:cs="Times New Roman"/>
                <w:sz w:val="21"/>
                <w:szCs w:val="21"/>
              </w:rPr>
            </w:pPr>
            <w:r>
              <w:rPr>
                <w:rFonts w:eastAsia="等线" w:cs="Times New Roman"/>
                <w:color w:val="000000"/>
                <w:sz w:val="21"/>
                <w:szCs w:val="21"/>
              </w:rPr>
              <w:t>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6" w:type="pct"/>
            <w:shd w:val="clear" w:color="auto" w:fill="auto"/>
            <w:vAlign w:val="center"/>
          </w:tcPr>
          <w:p>
            <w:pPr>
              <w:pStyle w:val="45"/>
              <w:rPr>
                <w:rFonts w:eastAsia="仿宋" w:cs="Times New Roman"/>
                <w:sz w:val="21"/>
                <w:szCs w:val="21"/>
              </w:rPr>
            </w:pPr>
            <w:r>
              <w:rPr>
                <w:rFonts w:eastAsia="仿宋" w:cs="Times New Roman"/>
                <w:sz w:val="21"/>
                <w:szCs w:val="21"/>
              </w:rPr>
              <w:t>2</w:t>
            </w:r>
          </w:p>
        </w:tc>
        <w:tc>
          <w:tcPr>
            <w:tcW w:w="1754"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园地</w:t>
            </w:r>
          </w:p>
        </w:tc>
        <w:tc>
          <w:tcPr>
            <w:tcW w:w="717" w:type="pct"/>
            <w:shd w:val="clear" w:color="auto" w:fill="auto"/>
            <w:vAlign w:val="center"/>
          </w:tcPr>
          <w:p>
            <w:pPr>
              <w:pStyle w:val="45"/>
              <w:rPr>
                <w:rFonts w:eastAsia="仿宋" w:cs="Times New Roman"/>
                <w:sz w:val="21"/>
                <w:szCs w:val="21"/>
              </w:rPr>
            </w:pPr>
            <w:r>
              <w:rPr>
                <w:rFonts w:eastAsia="等线" w:cs="Times New Roman"/>
                <w:color w:val="000000"/>
                <w:sz w:val="21"/>
                <w:szCs w:val="21"/>
              </w:rPr>
              <w:t>97.44</w:t>
            </w:r>
          </w:p>
        </w:tc>
        <w:tc>
          <w:tcPr>
            <w:tcW w:w="863" w:type="pct"/>
            <w:shd w:val="clear" w:color="auto" w:fill="auto"/>
            <w:vAlign w:val="center"/>
          </w:tcPr>
          <w:p>
            <w:pPr>
              <w:pStyle w:val="45"/>
              <w:rPr>
                <w:rFonts w:eastAsia="仿宋" w:cs="Times New Roman"/>
                <w:sz w:val="21"/>
                <w:szCs w:val="21"/>
              </w:rPr>
            </w:pPr>
            <w:r>
              <w:rPr>
                <w:rFonts w:eastAsia="等线" w:cs="Times New Roman"/>
                <w:color w:val="000000"/>
                <w:sz w:val="21"/>
                <w:szCs w:val="21"/>
              </w:rPr>
              <w:t>1.04</w:t>
            </w:r>
          </w:p>
        </w:tc>
        <w:tc>
          <w:tcPr>
            <w:tcW w:w="636" w:type="pct"/>
            <w:shd w:val="clear" w:color="auto" w:fill="auto"/>
            <w:vAlign w:val="center"/>
          </w:tcPr>
          <w:p>
            <w:pPr>
              <w:pStyle w:val="45"/>
              <w:rPr>
                <w:rFonts w:eastAsia="仿宋" w:cs="Times New Roman"/>
                <w:sz w:val="21"/>
                <w:szCs w:val="21"/>
              </w:rPr>
            </w:pPr>
            <w:r>
              <w:rPr>
                <w:rFonts w:eastAsia="等线" w:cs="Times New Roman"/>
                <w:color w:val="000000"/>
                <w:sz w:val="21"/>
                <w:szCs w:val="21"/>
              </w:rPr>
              <w:t>97.44</w:t>
            </w:r>
          </w:p>
        </w:tc>
        <w:tc>
          <w:tcPr>
            <w:tcW w:w="634" w:type="pct"/>
            <w:shd w:val="clear" w:color="auto" w:fill="auto"/>
            <w:vAlign w:val="center"/>
          </w:tcPr>
          <w:p>
            <w:pPr>
              <w:pStyle w:val="45"/>
              <w:rPr>
                <w:rFonts w:eastAsia="仿宋" w:cs="Times New Roman"/>
                <w:sz w:val="21"/>
                <w:szCs w:val="21"/>
              </w:rPr>
            </w:pPr>
            <w:r>
              <w:rPr>
                <w:rFonts w:eastAsia="等线" w:cs="Times New Roman"/>
                <w:color w:val="000000"/>
                <w:sz w:val="21"/>
                <w:szCs w:val="21"/>
              </w:rPr>
              <w:t>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6" w:type="pct"/>
            <w:shd w:val="clear" w:color="auto" w:fill="auto"/>
            <w:vAlign w:val="center"/>
          </w:tcPr>
          <w:p>
            <w:pPr>
              <w:pStyle w:val="45"/>
              <w:rPr>
                <w:rFonts w:eastAsia="仿宋" w:cs="Times New Roman"/>
                <w:sz w:val="21"/>
                <w:szCs w:val="21"/>
              </w:rPr>
            </w:pPr>
            <w:r>
              <w:rPr>
                <w:rFonts w:eastAsia="仿宋" w:cs="Times New Roman"/>
                <w:sz w:val="21"/>
                <w:szCs w:val="21"/>
              </w:rPr>
              <w:t>3</w:t>
            </w:r>
          </w:p>
        </w:tc>
        <w:tc>
          <w:tcPr>
            <w:tcW w:w="1754"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林地</w:t>
            </w:r>
          </w:p>
        </w:tc>
        <w:tc>
          <w:tcPr>
            <w:tcW w:w="717" w:type="pct"/>
            <w:shd w:val="clear" w:color="auto" w:fill="auto"/>
            <w:vAlign w:val="center"/>
          </w:tcPr>
          <w:p>
            <w:pPr>
              <w:pStyle w:val="45"/>
              <w:rPr>
                <w:rFonts w:eastAsia="仿宋" w:cs="Times New Roman"/>
                <w:sz w:val="21"/>
                <w:szCs w:val="21"/>
              </w:rPr>
            </w:pPr>
            <w:r>
              <w:rPr>
                <w:rFonts w:eastAsia="等线" w:cs="Times New Roman"/>
                <w:color w:val="000000"/>
                <w:sz w:val="21"/>
                <w:szCs w:val="21"/>
              </w:rPr>
              <w:t>4208.1</w:t>
            </w:r>
          </w:p>
        </w:tc>
        <w:tc>
          <w:tcPr>
            <w:tcW w:w="863" w:type="pct"/>
            <w:shd w:val="clear" w:color="auto" w:fill="auto"/>
            <w:vAlign w:val="center"/>
          </w:tcPr>
          <w:p>
            <w:pPr>
              <w:pStyle w:val="45"/>
              <w:rPr>
                <w:rFonts w:eastAsia="仿宋" w:cs="Times New Roman"/>
                <w:sz w:val="21"/>
                <w:szCs w:val="21"/>
              </w:rPr>
            </w:pPr>
            <w:r>
              <w:rPr>
                <w:rFonts w:eastAsia="等线" w:cs="Times New Roman"/>
                <w:color w:val="000000"/>
                <w:sz w:val="21"/>
                <w:szCs w:val="21"/>
              </w:rPr>
              <w:t>44.83</w:t>
            </w:r>
          </w:p>
        </w:tc>
        <w:tc>
          <w:tcPr>
            <w:tcW w:w="636" w:type="pct"/>
            <w:shd w:val="clear" w:color="auto" w:fill="auto"/>
            <w:vAlign w:val="center"/>
          </w:tcPr>
          <w:p>
            <w:pPr>
              <w:pStyle w:val="45"/>
              <w:rPr>
                <w:rFonts w:eastAsia="仿宋" w:cs="Times New Roman"/>
                <w:sz w:val="21"/>
                <w:szCs w:val="21"/>
              </w:rPr>
            </w:pPr>
            <w:r>
              <w:rPr>
                <w:rFonts w:eastAsia="等线" w:cs="Times New Roman"/>
                <w:color w:val="000000"/>
                <w:sz w:val="21"/>
                <w:szCs w:val="21"/>
              </w:rPr>
              <w:t>4215.07</w:t>
            </w:r>
          </w:p>
        </w:tc>
        <w:tc>
          <w:tcPr>
            <w:tcW w:w="634" w:type="pct"/>
            <w:shd w:val="clear" w:color="auto" w:fill="auto"/>
            <w:vAlign w:val="center"/>
          </w:tcPr>
          <w:p>
            <w:pPr>
              <w:pStyle w:val="45"/>
              <w:rPr>
                <w:rFonts w:eastAsia="仿宋" w:cs="Times New Roman"/>
                <w:sz w:val="21"/>
                <w:szCs w:val="21"/>
              </w:rPr>
            </w:pPr>
            <w:r>
              <w:rPr>
                <w:rFonts w:eastAsia="等线" w:cs="Times New Roman"/>
                <w:color w:val="000000"/>
                <w:sz w:val="21"/>
                <w:szCs w:val="21"/>
              </w:rPr>
              <w:t>44.9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6" w:type="pct"/>
            <w:shd w:val="clear" w:color="auto" w:fill="auto"/>
            <w:vAlign w:val="center"/>
          </w:tcPr>
          <w:p>
            <w:pPr>
              <w:pStyle w:val="45"/>
              <w:rPr>
                <w:rFonts w:eastAsia="仿宋" w:cs="Times New Roman"/>
                <w:sz w:val="21"/>
                <w:szCs w:val="21"/>
              </w:rPr>
            </w:pPr>
            <w:r>
              <w:rPr>
                <w:rFonts w:eastAsia="仿宋" w:cs="Times New Roman"/>
                <w:sz w:val="21"/>
                <w:szCs w:val="21"/>
              </w:rPr>
              <w:t>4</w:t>
            </w:r>
          </w:p>
        </w:tc>
        <w:tc>
          <w:tcPr>
            <w:tcW w:w="1754"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湿地</w:t>
            </w:r>
          </w:p>
        </w:tc>
        <w:tc>
          <w:tcPr>
            <w:tcW w:w="717" w:type="pct"/>
            <w:shd w:val="clear" w:color="auto" w:fill="auto"/>
            <w:vAlign w:val="center"/>
          </w:tcPr>
          <w:p>
            <w:pPr>
              <w:pStyle w:val="45"/>
              <w:rPr>
                <w:rFonts w:eastAsia="仿宋" w:cs="Times New Roman"/>
                <w:sz w:val="21"/>
                <w:szCs w:val="21"/>
              </w:rPr>
            </w:pPr>
            <w:r>
              <w:rPr>
                <w:rFonts w:eastAsia="等线" w:cs="Times New Roman"/>
                <w:color w:val="000000"/>
                <w:sz w:val="21"/>
                <w:szCs w:val="21"/>
              </w:rPr>
              <w:t>1249.6</w:t>
            </w:r>
          </w:p>
        </w:tc>
        <w:tc>
          <w:tcPr>
            <w:tcW w:w="863" w:type="pct"/>
            <w:shd w:val="clear" w:color="auto" w:fill="auto"/>
            <w:vAlign w:val="center"/>
          </w:tcPr>
          <w:p>
            <w:pPr>
              <w:pStyle w:val="45"/>
              <w:rPr>
                <w:rFonts w:eastAsia="仿宋" w:cs="Times New Roman"/>
                <w:sz w:val="21"/>
                <w:szCs w:val="21"/>
              </w:rPr>
            </w:pPr>
            <w:r>
              <w:rPr>
                <w:rFonts w:eastAsia="等线" w:cs="Times New Roman"/>
                <w:color w:val="000000"/>
                <w:sz w:val="21"/>
                <w:szCs w:val="21"/>
              </w:rPr>
              <w:t>13.31</w:t>
            </w:r>
          </w:p>
        </w:tc>
        <w:tc>
          <w:tcPr>
            <w:tcW w:w="636" w:type="pct"/>
            <w:shd w:val="clear" w:color="auto" w:fill="auto"/>
            <w:vAlign w:val="center"/>
          </w:tcPr>
          <w:p>
            <w:pPr>
              <w:pStyle w:val="45"/>
              <w:rPr>
                <w:rFonts w:eastAsia="仿宋" w:cs="Times New Roman"/>
                <w:sz w:val="21"/>
                <w:szCs w:val="21"/>
              </w:rPr>
            </w:pPr>
            <w:r>
              <w:rPr>
                <w:rFonts w:eastAsia="等线" w:cs="Times New Roman"/>
                <w:color w:val="000000"/>
                <w:sz w:val="21"/>
                <w:szCs w:val="21"/>
              </w:rPr>
              <w:t>1249.6</w:t>
            </w:r>
          </w:p>
        </w:tc>
        <w:tc>
          <w:tcPr>
            <w:tcW w:w="634" w:type="pct"/>
            <w:shd w:val="clear" w:color="auto" w:fill="auto"/>
            <w:vAlign w:val="center"/>
          </w:tcPr>
          <w:p>
            <w:pPr>
              <w:pStyle w:val="45"/>
              <w:rPr>
                <w:rFonts w:eastAsia="仿宋" w:cs="Times New Roman"/>
                <w:sz w:val="21"/>
                <w:szCs w:val="21"/>
              </w:rPr>
            </w:pPr>
            <w:r>
              <w:rPr>
                <w:rFonts w:eastAsia="等线" w:cs="Times New Roman"/>
                <w:color w:val="000000"/>
                <w:sz w:val="21"/>
                <w:szCs w:val="21"/>
              </w:rPr>
              <w:t>13.31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6" w:type="pct"/>
            <w:shd w:val="clear" w:color="auto" w:fill="auto"/>
            <w:vAlign w:val="center"/>
          </w:tcPr>
          <w:p>
            <w:pPr>
              <w:pStyle w:val="45"/>
              <w:rPr>
                <w:rFonts w:eastAsia="仿宋" w:cs="Times New Roman"/>
                <w:sz w:val="21"/>
                <w:szCs w:val="21"/>
              </w:rPr>
            </w:pPr>
            <w:r>
              <w:rPr>
                <w:rFonts w:eastAsia="仿宋" w:cs="Times New Roman"/>
                <w:sz w:val="21"/>
                <w:szCs w:val="21"/>
              </w:rPr>
              <w:t>5</w:t>
            </w:r>
          </w:p>
        </w:tc>
        <w:tc>
          <w:tcPr>
            <w:tcW w:w="1754"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农业设施建设用地</w:t>
            </w:r>
          </w:p>
        </w:tc>
        <w:tc>
          <w:tcPr>
            <w:tcW w:w="717" w:type="pct"/>
            <w:shd w:val="clear" w:color="auto" w:fill="auto"/>
            <w:vAlign w:val="center"/>
          </w:tcPr>
          <w:p>
            <w:pPr>
              <w:pStyle w:val="45"/>
              <w:rPr>
                <w:rFonts w:eastAsia="仿宋" w:cs="Times New Roman"/>
                <w:sz w:val="21"/>
                <w:szCs w:val="21"/>
                <w:highlight w:val="yellow"/>
              </w:rPr>
            </w:pPr>
            <w:r>
              <w:rPr>
                <w:rFonts w:eastAsia="等线" w:cs="Times New Roman"/>
                <w:color w:val="000000"/>
                <w:sz w:val="21"/>
                <w:szCs w:val="21"/>
              </w:rPr>
              <w:t>19.06</w:t>
            </w:r>
          </w:p>
        </w:tc>
        <w:tc>
          <w:tcPr>
            <w:tcW w:w="863" w:type="pct"/>
            <w:shd w:val="clear" w:color="auto" w:fill="auto"/>
            <w:vAlign w:val="center"/>
          </w:tcPr>
          <w:p>
            <w:pPr>
              <w:pStyle w:val="45"/>
              <w:rPr>
                <w:rFonts w:eastAsia="仿宋" w:cs="Times New Roman"/>
                <w:sz w:val="21"/>
                <w:szCs w:val="21"/>
                <w:highlight w:val="yellow"/>
              </w:rPr>
            </w:pPr>
            <w:r>
              <w:rPr>
                <w:rFonts w:eastAsia="等线" w:cs="Times New Roman"/>
                <w:color w:val="000000"/>
                <w:sz w:val="21"/>
                <w:szCs w:val="21"/>
              </w:rPr>
              <w:t>0.14</w:t>
            </w:r>
          </w:p>
        </w:tc>
        <w:tc>
          <w:tcPr>
            <w:tcW w:w="636" w:type="pct"/>
            <w:shd w:val="clear" w:color="auto" w:fill="auto"/>
            <w:vAlign w:val="center"/>
          </w:tcPr>
          <w:p>
            <w:pPr>
              <w:pStyle w:val="45"/>
              <w:rPr>
                <w:rFonts w:eastAsia="仿宋" w:cs="Times New Roman"/>
                <w:sz w:val="21"/>
                <w:szCs w:val="21"/>
                <w:highlight w:val="yellow"/>
              </w:rPr>
            </w:pPr>
            <w:r>
              <w:rPr>
                <w:rFonts w:eastAsia="等线" w:cs="Times New Roman"/>
                <w:color w:val="000000"/>
                <w:sz w:val="21"/>
                <w:szCs w:val="21"/>
              </w:rPr>
              <w:t>12.77</w:t>
            </w:r>
          </w:p>
        </w:tc>
        <w:tc>
          <w:tcPr>
            <w:tcW w:w="634" w:type="pct"/>
            <w:shd w:val="clear" w:color="auto" w:fill="auto"/>
            <w:vAlign w:val="center"/>
          </w:tcPr>
          <w:p>
            <w:pPr>
              <w:pStyle w:val="45"/>
              <w:rPr>
                <w:rFonts w:eastAsia="仿宋" w:cs="Times New Roman"/>
                <w:sz w:val="21"/>
                <w:szCs w:val="21"/>
                <w:highlight w:val="yellow"/>
              </w:rPr>
            </w:pPr>
            <w:r>
              <w:rPr>
                <w:rFonts w:eastAsia="等线" w:cs="Times New Roman"/>
                <w:color w:val="000000"/>
                <w:sz w:val="21"/>
                <w:szCs w:val="21"/>
              </w:rPr>
              <w:t>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6" w:type="pct"/>
            <w:shd w:val="clear" w:color="auto" w:fill="auto"/>
            <w:vAlign w:val="center"/>
          </w:tcPr>
          <w:p>
            <w:pPr>
              <w:pStyle w:val="45"/>
              <w:rPr>
                <w:rFonts w:eastAsia="仿宋" w:cs="Times New Roman"/>
                <w:sz w:val="21"/>
                <w:szCs w:val="21"/>
              </w:rPr>
            </w:pPr>
            <w:r>
              <w:rPr>
                <w:rFonts w:eastAsia="仿宋" w:cs="Times New Roman"/>
                <w:sz w:val="21"/>
                <w:szCs w:val="21"/>
              </w:rPr>
              <w:t>6</w:t>
            </w:r>
          </w:p>
        </w:tc>
        <w:tc>
          <w:tcPr>
            <w:tcW w:w="1754"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草地</w:t>
            </w:r>
          </w:p>
        </w:tc>
        <w:tc>
          <w:tcPr>
            <w:tcW w:w="717" w:type="pct"/>
            <w:shd w:val="clear" w:color="auto" w:fill="auto"/>
            <w:vAlign w:val="center"/>
          </w:tcPr>
          <w:p>
            <w:pPr>
              <w:pStyle w:val="45"/>
              <w:rPr>
                <w:rFonts w:eastAsia="仿宋" w:cs="Times New Roman"/>
                <w:sz w:val="21"/>
                <w:szCs w:val="21"/>
              </w:rPr>
            </w:pPr>
            <w:r>
              <w:rPr>
                <w:rFonts w:eastAsia="等线" w:cs="Times New Roman"/>
                <w:color w:val="000000"/>
                <w:sz w:val="21"/>
                <w:szCs w:val="21"/>
              </w:rPr>
              <w:t>1.22</w:t>
            </w:r>
          </w:p>
        </w:tc>
        <w:tc>
          <w:tcPr>
            <w:tcW w:w="863" w:type="pct"/>
            <w:shd w:val="clear" w:color="auto" w:fill="auto"/>
            <w:vAlign w:val="center"/>
          </w:tcPr>
          <w:p>
            <w:pPr>
              <w:pStyle w:val="45"/>
              <w:rPr>
                <w:rFonts w:eastAsia="仿宋" w:cs="Times New Roman"/>
                <w:sz w:val="21"/>
                <w:szCs w:val="21"/>
              </w:rPr>
            </w:pPr>
            <w:r>
              <w:rPr>
                <w:rFonts w:eastAsia="等线" w:cs="Times New Roman"/>
                <w:color w:val="000000"/>
                <w:sz w:val="21"/>
                <w:szCs w:val="21"/>
              </w:rPr>
              <w:t>0.01</w:t>
            </w:r>
          </w:p>
        </w:tc>
        <w:tc>
          <w:tcPr>
            <w:tcW w:w="636" w:type="pct"/>
            <w:shd w:val="clear" w:color="auto" w:fill="auto"/>
            <w:vAlign w:val="center"/>
          </w:tcPr>
          <w:p>
            <w:pPr>
              <w:pStyle w:val="45"/>
              <w:rPr>
                <w:rFonts w:eastAsia="仿宋" w:cs="Times New Roman"/>
                <w:sz w:val="21"/>
                <w:szCs w:val="21"/>
              </w:rPr>
            </w:pPr>
            <w:r>
              <w:rPr>
                <w:rFonts w:eastAsia="等线" w:cs="Times New Roman"/>
                <w:color w:val="000000"/>
                <w:sz w:val="21"/>
                <w:szCs w:val="21"/>
              </w:rPr>
              <w:t>1.22</w:t>
            </w:r>
          </w:p>
        </w:tc>
        <w:tc>
          <w:tcPr>
            <w:tcW w:w="634" w:type="pct"/>
            <w:shd w:val="clear" w:color="auto" w:fill="auto"/>
            <w:vAlign w:val="center"/>
          </w:tcPr>
          <w:p>
            <w:pPr>
              <w:pStyle w:val="45"/>
              <w:rPr>
                <w:rFonts w:eastAsia="仿宋" w:cs="Times New Roman"/>
                <w:sz w:val="21"/>
                <w:szCs w:val="21"/>
              </w:rPr>
            </w:pPr>
            <w:r>
              <w:rPr>
                <w:rFonts w:eastAsia="等线" w:cs="Times New Roman"/>
                <w:color w:val="000000"/>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6" w:type="pct"/>
            <w:shd w:val="clear" w:color="auto" w:fill="auto"/>
            <w:vAlign w:val="center"/>
          </w:tcPr>
          <w:p>
            <w:pPr>
              <w:pStyle w:val="45"/>
              <w:rPr>
                <w:rFonts w:eastAsia="仿宋" w:cs="Times New Roman"/>
                <w:sz w:val="21"/>
                <w:szCs w:val="21"/>
              </w:rPr>
            </w:pPr>
            <w:r>
              <w:rPr>
                <w:rFonts w:eastAsia="仿宋" w:cs="Times New Roman"/>
                <w:sz w:val="21"/>
                <w:szCs w:val="21"/>
              </w:rPr>
              <w:t>7</w:t>
            </w:r>
          </w:p>
        </w:tc>
        <w:tc>
          <w:tcPr>
            <w:tcW w:w="1754"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商业服务业用地</w:t>
            </w:r>
          </w:p>
        </w:tc>
        <w:tc>
          <w:tcPr>
            <w:tcW w:w="717" w:type="pct"/>
            <w:shd w:val="clear" w:color="auto" w:fill="auto"/>
            <w:vAlign w:val="center"/>
          </w:tcPr>
          <w:p>
            <w:pPr>
              <w:pStyle w:val="45"/>
              <w:rPr>
                <w:rFonts w:eastAsia="仿宋" w:cs="Times New Roman"/>
                <w:sz w:val="21"/>
                <w:szCs w:val="21"/>
              </w:rPr>
            </w:pPr>
            <w:r>
              <w:rPr>
                <w:rFonts w:eastAsia="等线" w:cs="Times New Roman"/>
                <w:color w:val="000000"/>
                <w:sz w:val="21"/>
                <w:szCs w:val="21"/>
              </w:rPr>
              <w:t>1.26</w:t>
            </w:r>
          </w:p>
        </w:tc>
        <w:tc>
          <w:tcPr>
            <w:tcW w:w="863" w:type="pct"/>
            <w:shd w:val="clear" w:color="auto" w:fill="auto"/>
            <w:vAlign w:val="center"/>
          </w:tcPr>
          <w:p>
            <w:pPr>
              <w:pStyle w:val="45"/>
              <w:rPr>
                <w:rFonts w:eastAsia="仿宋" w:cs="Times New Roman"/>
                <w:sz w:val="21"/>
                <w:szCs w:val="21"/>
              </w:rPr>
            </w:pPr>
            <w:r>
              <w:rPr>
                <w:rFonts w:eastAsia="等线" w:cs="Times New Roman"/>
                <w:color w:val="000000"/>
                <w:sz w:val="21"/>
                <w:szCs w:val="21"/>
              </w:rPr>
              <w:t>0.01</w:t>
            </w:r>
          </w:p>
        </w:tc>
        <w:tc>
          <w:tcPr>
            <w:tcW w:w="636" w:type="pct"/>
            <w:shd w:val="clear" w:color="auto" w:fill="auto"/>
            <w:vAlign w:val="center"/>
          </w:tcPr>
          <w:p>
            <w:pPr>
              <w:pStyle w:val="45"/>
              <w:rPr>
                <w:rFonts w:eastAsia="仿宋" w:cs="Times New Roman"/>
                <w:sz w:val="21"/>
                <w:szCs w:val="21"/>
              </w:rPr>
            </w:pPr>
            <w:r>
              <w:rPr>
                <w:rFonts w:eastAsia="等线" w:cs="Times New Roman"/>
                <w:color w:val="000000"/>
                <w:sz w:val="21"/>
                <w:szCs w:val="21"/>
              </w:rPr>
              <w:t>1.26</w:t>
            </w:r>
          </w:p>
        </w:tc>
        <w:tc>
          <w:tcPr>
            <w:tcW w:w="634" w:type="pct"/>
            <w:shd w:val="clear" w:color="auto" w:fill="auto"/>
            <w:vAlign w:val="center"/>
          </w:tcPr>
          <w:p>
            <w:pPr>
              <w:pStyle w:val="45"/>
              <w:rPr>
                <w:rFonts w:eastAsia="仿宋" w:cs="Times New Roman"/>
                <w:sz w:val="21"/>
                <w:szCs w:val="21"/>
              </w:rPr>
            </w:pPr>
            <w:r>
              <w:rPr>
                <w:rFonts w:eastAsia="等线" w:cs="Times New Roman"/>
                <w:color w:val="000000"/>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6" w:type="pct"/>
            <w:shd w:val="clear" w:color="auto" w:fill="auto"/>
            <w:vAlign w:val="center"/>
          </w:tcPr>
          <w:p>
            <w:pPr>
              <w:pStyle w:val="45"/>
              <w:rPr>
                <w:rFonts w:eastAsia="仿宋" w:cs="Times New Roman"/>
                <w:sz w:val="21"/>
                <w:szCs w:val="21"/>
              </w:rPr>
            </w:pPr>
            <w:r>
              <w:rPr>
                <w:rFonts w:eastAsia="仿宋" w:cs="Times New Roman"/>
                <w:sz w:val="21"/>
                <w:szCs w:val="21"/>
              </w:rPr>
              <w:t>8</w:t>
            </w:r>
          </w:p>
        </w:tc>
        <w:tc>
          <w:tcPr>
            <w:tcW w:w="1754"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工矿用地</w:t>
            </w:r>
          </w:p>
        </w:tc>
        <w:tc>
          <w:tcPr>
            <w:tcW w:w="717" w:type="pct"/>
            <w:shd w:val="clear" w:color="auto" w:fill="auto"/>
            <w:vAlign w:val="center"/>
          </w:tcPr>
          <w:p>
            <w:pPr>
              <w:pStyle w:val="45"/>
              <w:rPr>
                <w:rFonts w:eastAsia="仿宋" w:cs="Times New Roman"/>
                <w:sz w:val="21"/>
                <w:szCs w:val="21"/>
              </w:rPr>
            </w:pPr>
            <w:r>
              <w:rPr>
                <w:rFonts w:eastAsia="等线" w:cs="Times New Roman"/>
                <w:color w:val="000000"/>
                <w:sz w:val="21"/>
                <w:szCs w:val="21"/>
              </w:rPr>
              <w:t>5.85</w:t>
            </w:r>
          </w:p>
        </w:tc>
        <w:tc>
          <w:tcPr>
            <w:tcW w:w="863" w:type="pct"/>
            <w:shd w:val="clear" w:color="auto" w:fill="auto"/>
            <w:vAlign w:val="center"/>
          </w:tcPr>
          <w:p>
            <w:pPr>
              <w:pStyle w:val="45"/>
              <w:rPr>
                <w:rFonts w:eastAsia="仿宋" w:cs="Times New Roman"/>
                <w:sz w:val="21"/>
                <w:szCs w:val="21"/>
              </w:rPr>
            </w:pPr>
            <w:r>
              <w:rPr>
                <w:rFonts w:eastAsia="等线" w:cs="Times New Roman"/>
                <w:color w:val="000000"/>
                <w:sz w:val="21"/>
                <w:szCs w:val="21"/>
              </w:rPr>
              <w:t>0.06</w:t>
            </w:r>
          </w:p>
        </w:tc>
        <w:tc>
          <w:tcPr>
            <w:tcW w:w="636" w:type="pct"/>
            <w:shd w:val="clear" w:color="auto" w:fill="auto"/>
            <w:vAlign w:val="center"/>
          </w:tcPr>
          <w:p>
            <w:pPr>
              <w:pStyle w:val="45"/>
              <w:rPr>
                <w:rFonts w:eastAsia="仿宋" w:cs="Times New Roman"/>
                <w:sz w:val="21"/>
                <w:szCs w:val="21"/>
              </w:rPr>
            </w:pPr>
            <w:r>
              <w:rPr>
                <w:rFonts w:eastAsia="等线" w:cs="Times New Roman"/>
                <w:color w:val="000000"/>
                <w:sz w:val="21"/>
                <w:szCs w:val="21"/>
              </w:rPr>
              <w:t>0</w:t>
            </w:r>
          </w:p>
        </w:tc>
        <w:tc>
          <w:tcPr>
            <w:tcW w:w="634" w:type="pct"/>
            <w:shd w:val="clear" w:color="auto" w:fill="auto"/>
            <w:vAlign w:val="center"/>
          </w:tcPr>
          <w:p>
            <w:pPr>
              <w:pStyle w:val="45"/>
              <w:rPr>
                <w:rFonts w:eastAsia="仿宋" w:cs="Times New Roman"/>
                <w:sz w:val="21"/>
                <w:szCs w:val="21"/>
              </w:rPr>
            </w:pPr>
            <w:r>
              <w:rPr>
                <w:rFonts w:eastAsia="等线" w:cs="Times New Roman"/>
                <w:color w:val="000000"/>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6" w:type="pct"/>
            <w:shd w:val="clear" w:color="auto" w:fill="auto"/>
            <w:vAlign w:val="center"/>
          </w:tcPr>
          <w:p>
            <w:pPr>
              <w:pStyle w:val="45"/>
              <w:rPr>
                <w:rFonts w:eastAsia="仿宋" w:cs="Times New Roman"/>
                <w:sz w:val="21"/>
                <w:szCs w:val="21"/>
              </w:rPr>
            </w:pPr>
            <w:r>
              <w:rPr>
                <w:rFonts w:eastAsia="仿宋" w:cs="Times New Roman"/>
                <w:sz w:val="21"/>
                <w:szCs w:val="21"/>
              </w:rPr>
              <w:t>9</w:t>
            </w:r>
          </w:p>
        </w:tc>
        <w:tc>
          <w:tcPr>
            <w:tcW w:w="1754"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住宅用地</w:t>
            </w:r>
          </w:p>
        </w:tc>
        <w:tc>
          <w:tcPr>
            <w:tcW w:w="717" w:type="pct"/>
            <w:shd w:val="clear" w:color="auto" w:fill="auto"/>
            <w:vAlign w:val="center"/>
          </w:tcPr>
          <w:p>
            <w:pPr>
              <w:pStyle w:val="45"/>
              <w:rPr>
                <w:rFonts w:eastAsia="仿宋" w:cs="Times New Roman"/>
                <w:sz w:val="21"/>
                <w:szCs w:val="21"/>
              </w:rPr>
            </w:pPr>
            <w:r>
              <w:rPr>
                <w:rFonts w:eastAsia="等线" w:cs="Times New Roman"/>
                <w:color w:val="000000"/>
                <w:sz w:val="21"/>
                <w:szCs w:val="21"/>
              </w:rPr>
              <w:t>10.86</w:t>
            </w:r>
          </w:p>
        </w:tc>
        <w:tc>
          <w:tcPr>
            <w:tcW w:w="863" w:type="pct"/>
            <w:shd w:val="clear" w:color="auto" w:fill="auto"/>
            <w:vAlign w:val="center"/>
          </w:tcPr>
          <w:p>
            <w:pPr>
              <w:pStyle w:val="45"/>
              <w:rPr>
                <w:rFonts w:eastAsia="仿宋" w:cs="Times New Roman"/>
                <w:sz w:val="21"/>
                <w:szCs w:val="21"/>
              </w:rPr>
            </w:pPr>
            <w:r>
              <w:rPr>
                <w:rFonts w:eastAsia="等线" w:cs="Times New Roman"/>
                <w:color w:val="000000"/>
                <w:sz w:val="21"/>
                <w:szCs w:val="21"/>
              </w:rPr>
              <w:t>0.12</w:t>
            </w:r>
          </w:p>
        </w:tc>
        <w:tc>
          <w:tcPr>
            <w:tcW w:w="636" w:type="pct"/>
            <w:shd w:val="clear" w:color="auto" w:fill="auto"/>
            <w:vAlign w:val="center"/>
          </w:tcPr>
          <w:p>
            <w:pPr>
              <w:pStyle w:val="45"/>
              <w:rPr>
                <w:rFonts w:eastAsia="仿宋" w:cs="Times New Roman"/>
                <w:sz w:val="21"/>
                <w:szCs w:val="21"/>
              </w:rPr>
            </w:pPr>
            <w:r>
              <w:rPr>
                <w:rFonts w:eastAsia="等线" w:cs="Times New Roman"/>
                <w:color w:val="000000"/>
                <w:sz w:val="21"/>
                <w:szCs w:val="21"/>
              </w:rPr>
              <w:t>10.86</w:t>
            </w:r>
          </w:p>
        </w:tc>
        <w:tc>
          <w:tcPr>
            <w:tcW w:w="634" w:type="pct"/>
            <w:shd w:val="clear" w:color="auto" w:fill="auto"/>
            <w:vAlign w:val="center"/>
          </w:tcPr>
          <w:p>
            <w:pPr>
              <w:pStyle w:val="45"/>
              <w:rPr>
                <w:rFonts w:eastAsia="仿宋" w:cs="Times New Roman"/>
                <w:sz w:val="21"/>
                <w:szCs w:val="21"/>
              </w:rPr>
            </w:pPr>
            <w:r>
              <w:rPr>
                <w:rFonts w:eastAsia="等线" w:cs="Times New Roman"/>
                <w:color w:val="000000"/>
                <w:sz w:val="21"/>
                <w:szCs w:val="21"/>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6" w:type="pct"/>
            <w:shd w:val="clear" w:color="auto" w:fill="auto"/>
            <w:vAlign w:val="center"/>
          </w:tcPr>
          <w:p>
            <w:pPr>
              <w:pStyle w:val="45"/>
              <w:rPr>
                <w:rFonts w:eastAsia="仿宋" w:cs="Times New Roman"/>
                <w:sz w:val="21"/>
                <w:szCs w:val="21"/>
              </w:rPr>
            </w:pPr>
            <w:r>
              <w:rPr>
                <w:rFonts w:eastAsia="仿宋" w:cs="Times New Roman"/>
                <w:sz w:val="21"/>
                <w:szCs w:val="21"/>
              </w:rPr>
              <w:t>10</w:t>
            </w:r>
          </w:p>
        </w:tc>
        <w:tc>
          <w:tcPr>
            <w:tcW w:w="1754"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公共管理与公共服务用地</w:t>
            </w:r>
          </w:p>
        </w:tc>
        <w:tc>
          <w:tcPr>
            <w:tcW w:w="717" w:type="pct"/>
            <w:shd w:val="clear" w:color="auto" w:fill="auto"/>
            <w:vAlign w:val="center"/>
          </w:tcPr>
          <w:p>
            <w:pPr>
              <w:pStyle w:val="45"/>
              <w:rPr>
                <w:rFonts w:eastAsia="仿宋" w:cs="Times New Roman"/>
                <w:sz w:val="21"/>
                <w:szCs w:val="21"/>
              </w:rPr>
            </w:pPr>
            <w:r>
              <w:rPr>
                <w:rFonts w:eastAsia="等线" w:cs="Times New Roman"/>
                <w:color w:val="000000"/>
                <w:sz w:val="21"/>
                <w:szCs w:val="21"/>
              </w:rPr>
              <w:t>5.3</w:t>
            </w:r>
          </w:p>
        </w:tc>
        <w:tc>
          <w:tcPr>
            <w:tcW w:w="863" w:type="pct"/>
            <w:shd w:val="clear" w:color="auto" w:fill="auto"/>
            <w:vAlign w:val="center"/>
          </w:tcPr>
          <w:p>
            <w:pPr>
              <w:pStyle w:val="45"/>
              <w:rPr>
                <w:rFonts w:eastAsia="仿宋" w:cs="Times New Roman"/>
                <w:sz w:val="21"/>
                <w:szCs w:val="21"/>
              </w:rPr>
            </w:pPr>
            <w:r>
              <w:rPr>
                <w:rFonts w:eastAsia="等线" w:cs="Times New Roman"/>
                <w:color w:val="000000"/>
                <w:sz w:val="21"/>
                <w:szCs w:val="21"/>
              </w:rPr>
              <w:t>0.06</w:t>
            </w:r>
          </w:p>
        </w:tc>
        <w:tc>
          <w:tcPr>
            <w:tcW w:w="636" w:type="pct"/>
            <w:shd w:val="clear" w:color="auto" w:fill="auto"/>
            <w:vAlign w:val="center"/>
          </w:tcPr>
          <w:p>
            <w:pPr>
              <w:pStyle w:val="45"/>
              <w:rPr>
                <w:rFonts w:eastAsia="仿宋" w:cs="Times New Roman"/>
                <w:sz w:val="21"/>
                <w:szCs w:val="21"/>
              </w:rPr>
            </w:pPr>
            <w:r>
              <w:rPr>
                <w:rFonts w:eastAsia="等线" w:cs="Times New Roman"/>
                <w:color w:val="000000"/>
                <w:sz w:val="21"/>
                <w:szCs w:val="21"/>
              </w:rPr>
              <w:t>7.5</w:t>
            </w:r>
          </w:p>
        </w:tc>
        <w:tc>
          <w:tcPr>
            <w:tcW w:w="634" w:type="pct"/>
            <w:shd w:val="clear" w:color="auto" w:fill="auto"/>
            <w:vAlign w:val="center"/>
          </w:tcPr>
          <w:p>
            <w:pPr>
              <w:pStyle w:val="45"/>
              <w:rPr>
                <w:rFonts w:eastAsia="仿宋" w:cs="Times New Roman"/>
                <w:sz w:val="21"/>
                <w:szCs w:val="21"/>
              </w:rPr>
            </w:pPr>
            <w:r>
              <w:rPr>
                <w:rFonts w:eastAsia="等线" w:cs="Times New Roman"/>
                <w:color w:val="000000"/>
                <w:sz w:val="21"/>
                <w:szCs w:val="21"/>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6" w:type="pct"/>
            <w:shd w:val="clear" w:color="auto" w:fill="auto"/>
            <w:vAlign w:val="center"/>
          </w:tcPr>
          <w:p>
            <w:pPr>
              <w:pStyle w:val="45"/>
              <w:rPr>
                <w:rFonts w:eastAsia="仿宋" w:cs="Times New Roman"/>
                <w:sz w:val="21"/>
                <w:szCs w:val="21"/>
              </w:rPr>
            </w:pPr>
            <w:r>
              <w:rPr>
                <w:rFonts w:eastAsia="仿宋" w:cs="Times New Roman"/>
                <w:sz w:val="21"/>
                <w:szCs w:val="21"/>
              </w:rPr>
              <w:t>11</w:t>
            </w:r>
          </w:p>
        </w:tc>
        <w:tc>
          <w:tcPr>
            <w:tcW w:w="1754"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特殊用地</w:t>
            </w:r>
          </w:p>
        </w:tc>
        <w:tc>
          <w:tcPr>
            <w:tcW w:w="717" w:type="pct"/>
            <w:shd w:val="clear" w:color="auto" w:fill="auto"/>
            <w:vAlign w:val="center"/>
          </w:tcPr>
          <w:p>
            <w:pPr>
              <w:pStyle w:val="45"/>
              <w:rPr>
                <w:rFonts w:eastAsia="仿宋" w:cs="Times New Roman"/>
                <w:sz w:val="21"/>
                <w:szCs w:val="21"/>
              </w:rPr>
            </w:pPr>
            <w:r>
              <w:rPr>
                <w:rFonts w:eastAsia="等线" w:cs="Times New Roman"/>
                <w:color w:val="000000"/>
                <w:sz w:val="21"/>
                <w:szCs w:val="21"/>
              </w:rPr>
              <w:t>0.72</w:t>
            </w:r>
          </w:p>
        </w:tc>
        <w:tc>
          <w:tcPr>
            <w:tcW w:w="863" w:type="pct"/>
            <w:shd w:val="clear" w:color="auto" w:fill="auto"/>
            <w:vAlign w:val="center"/>
          </w:tcPr>
          <w:p>
            <w:pPr>
              <w:pStyle w:val="45"/>
              <w:rPr>
                <w:rFonts w:eastAsia="仿宋" w:cs="Times New Roman"/>
                <w:sz w:val="21"/>
                <w:szCs w:val="21"/>
              </w:rPr>
            </w:pPr>
            <w:r>
              <w:rPr>
                <w:rFonts w:eastAsia="等线" w:cs="Times New Roman"/>
                <w:color w:val="000000"/>
                <w:sz w:val="21"/>
                <w:szCs w:val="21"/>
              </w:rPr>
              <w:t>0.01</w:t>
            </w:r>
          </w:p>
        </w:tc>
        <w:tc>
          <w:tcPr>
            <w:tcW w:w="636" w:type="pct"/>
            <w:shd w:val="clear" w:color="auto" w:fill="auto"/>
            <w:vAlign w:val="center"/>
          </w:tcPr>
          <w:p>
            <w:pPr>
              <w:pStyle w:val="45"/>
              <w:rPr>
                <w:rFonts w:eastAsia="仿宋" w:cs="Times New Roman"/>
                <w:sz w:val="21"/>
                <w:szCs w:val="21"/>
              </w:rPr>
            </w:pPr>
            <w:r>
              <w:rPr>
                <w:rFonts w:eastAsia="等线" w:cs="Times New Roman"/>
                <w:color w:val="000000"/>
                <w:sz w:val="21"/>
                <w:szCs w:val="21"/>
              </w:rPr>
              <w:t>0.72</w:t>
            </w:r>
          </w:p>
        </w:tc>
        <w:tc>
          <w:tcPr>
            <w:tcW w:w="634" w:type="pct"/>
            <w:shd w:val="clear" w:color="auto" w:fill="auto"/>
            <w:vAlign w:val="center"/>
          </w:tcPr>
          <w:p>
            <w:pPr>
              <w:pStyle w:val="45"/>
              <w:rPr>
                <w:rFonts w:eastAsia="仿宋" w:cs="Times New Roman"/>
                <w:sz w:val="21"/>
                <w:szCs w:val="21"/>
              </w:rPr>
            </w:pPr>
            <w:r>
              <w:rPr>
                <w:rFonts w:eastAsia="等线" w:cs="Times New Roman"/>
                <w:color w:val="000000"/>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6" w:type="pct"/>
            <w:shd w:val="clear" w:color="auto" w:fill="auto"/>
            <w:vAlign w:val="center"/>
          </w:tcPr>
          <w:p>
            <w:pPr>
              <w:pStyle w:val="45"/>
              <w:rPr>
                <w:rFonts w:eastAsia="仿宋" w:cs="Times New Roman"/>
                <w:sz w:val="21"/>
                <w:szCs w:val="21"/>
              </w:rPr>
            </w:pPr>
            <w:r>
              <w:rPr>
                <w:rFonts w:eastAsia="仿宋" w:cs="Times New Roman"/>
                <w:sz w:val="21"/>
                <w:szCs w:val="21"/>
              </w:rPr>
              <w:t>12</w:t>
            </w:r>
          </w:p>
        </w:tc>
        <w:tc>
          <w:tcPr>
            <w:tcW w:w="1754"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交通运输用地</w:t>
            </w:r>
          </w:p>
        </w:tc>
        <w:tc>
          <w:tcPr>
            <w:tcW w:w="717" w:type="pct"/>
            <w:shd w:val="clear" w:color="auto" w:fill="auto"/>
            <w:vAlign w:val="center"/>
          </w:tcPr>
          <w:p>
            <w:pPr>
              <w:pStyle w:val="45"/>
              <w:rPr>
                <w:rFonts w:eastAsia="仿宋" w:cs="Times New Roman"/>
                <w:sz w:val="21"/>
                <w:szCs w:val="21"/>
              </w:rPr>
            </w:pPr>
            <w:r>
              <w:rPr>
                <w:rFonts w:eastAsia="等线" w:cs="Times New Roman"/>
                <w:color w:val="000000"/>
                <w:sz w:val="21"/>
                <w:szCs w:val="21"/>
              </w:rPr>
              <w:t>28.39</w:t>
            </w:r>
          </w:p>
        </w:tc>
        <w:tc>
          <w:tcPr>
            <w:tcW w:w="863" w:type="pct"/>
            <w:shd w:val="clear" w:color="auto" w:fill="auto"/>
            <w:vAlign w:val="center"/>
          </w:tcPr>
          <w:p>
            <w:pPr>
              <w:pStyle w:val="45"/>
              <w:rPr>
                <w:rFonts w:eastAsia="仿宋" w:cs="Times New Roman"/>
                <w:sz w:val="21"/>
                <w:szCs w:val="21"/>
              </w:rPr>
            </w:pPr>
            <w:r>
              <w:rPr>
                <w:rFonts w:eastAsia="等线" w:cs="Times New Roman"/>
                <w:color w:val="000000"/>
                <w:sz w:val="21"/>
                <w:szCs w:val="21"/>
              </w:rPr>
              <w:t>0.3</w:t>
            </w:r>
          </w:p>
        </w:tc>
        <w:tc>
          <w:tcPr>
            <w:tcW w:w="636" w:type="pct"/>
            <w:shd w:val="clear" w:color="auto" w:fill="auto"/>
            <w:vAlign w:val="center"/>
          </w:tcPr>
          <w:p>
            <w:pPr>
              <w:pStyle w:val="45"/>
              <w:rPr>
                <w:rFonts w:eastAsia="仿宋" w:cs="Times New Roman"/>
                <w:sz w:val="21"/>
                <w:szCs w:val="21"/>
              </w:rPr>
            </w:pPr>
            <w:r>
              <w:rPr>
                <w:rFonts w:eastAsia="等线" w:cs="Times New Roman"/>
                <w:color w:val="000000"/>
                <w:sz w:val="21"/>
                <w:szCs w:val="21"/>
              </w:rPr>
              <w:t>32.39</w:t>
            </w:r>
          </w:p>
        </w:tc>
        <w:tc>
          <w:tcPr>
            <w:tcW w:w="634" w:type="pct"/>
            <w:shd w:val="clear" w:color="auto" w:fill="auto"/>
            <w:vAlign w:val="center"/>
          </w:tcPr>
          <w:p>
            <w:pPr>
              <w:pStyle w:val="45"/>
              <w:rPr>
                <w:rFonts w:eastAsia="仿宋" w:cs="Times New Roman"/>
                <w:sz w:val="21"/>
                <w:szCs w:val="21"/>
              </w:rPr>
            </w:pPr>
            <w:r>
              <w:rPr>
                <w:rFonts w:eastAsia="等线" w:cs="Times New Roman"/>
                <w:color w:val="000000"/>
                <w:sz w:val="21"/>
                <w:szCs w:val="21"/>
              </w:rPr>
              <w:t>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6" w:type="pct"/>
            <w:shd w:val="clear" w:color="auto" w:fill="auto"/>
            <w:vAlign w:val="center"/>
          </w:tcPr>
          <w:p>
            <w:pPr>
              <w:pStyle w:val="45"/>
              <w:rPr>
                <w:rFonts w:eastAsia="仿宋" w:cs="Times New Roman"/>
                <w:sz w:val="21"/>
                <w:szCs w:val="21"/>
              </w:rPr>
            </w:pPr>
            <w:r>
              <w:rPr>
                <w:rFonts w:eastAsia="仿宋" w:cs="Times New Roman"/>
                <w:sz w:val="21"/>
                <w:szCs w:val="21"/>
              </w:rPr>
              <w:t>13</w:t>
            </w:r>
          </w:p>
        </w:tc>
        <w:tc>
          <w:tcPr>
            <w:tcW w:w="1754"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陆地水域</w:t>
            </w:r>
          </w:p>
        </w:tc>
        <w:tc>
          <w:tcPr>
            <w:tcW w:w="717" w:type="pct"/>
            <w:shd w:val="clear" w:color="auto" w:fill="auto"/>
            <w:vAlign w:val="center"/>
          </w:tcPr>
          <w:p>
            <w:pPr>
              <w:pStyle w:val="45"/>
              <w:rPr>
                <w:rFonts w:eastAsia="仿宋" w:cs="Times New Roman"/>
                <w:sz w:val="21"/>
                <w:szCs w:val="21"/>
              </w:rPr>
            </w:pPr>
            <w:r>
              <w:rPr>
                <w:rFonts w:eastAsia="等线" w:cs="Times New Roman"/>
                <w:color w:val="000000"/>
                <w:sz w:val="21"/>
                <w:szCs w:val="21"/>
              </w:rPr>
              <w:t>3658.25</w:t>
            </w:r>
          </w:p>
        </w:tc>
        <w:tc>
          <w:tcPr>
            <w:tcW w:w="863" w:type="pct"/>
            <w:shd w:val="clear" w:color="auto" w:fill="auto"/>
            <w:vAlign w:val="center"/>
          </w:tcPr>
          <w:p>
            <w:pPr>
              <w:pStyle w:val="45"/>
              <w:rPr>
                <w:rFonts w:eastAsia="仿宋" w:cs="Times New Roman"/>
                <w:sz w:val="21"/>
                <w:szCs w:val="21"/>
              </w:rPr>
            </w:pPr>
            <w:r>
              <w:rPr>
                <w:rFonts w:eastAsia="等线" w:cs="Times New Roman"/>
                <w:color w:val="000000"/>
                <w:sz w:val="21"/>
                <w:szCs w:val="21"/>
              </w:rPr>
              <w:t>38.97</w:t>
            </w:r>
          </w:p>
        </w:tc>
        <w:tc>
          <w:tcPr>
            <w:tcW w:w="636" w:type="pct"/>
            <w:shd w:val="clear" w:color="auto" w:fill="auto"/>
            <w:vAlign w:val="center"/>
          </w:tcPr>
          <w:p>
            <w:pPr>
              <w:pStyle w:val="45"/>
              <w:rPr>
                <w:rFonts w:eastAsia="仿宋" w:cs="Times New Roman"/>
                <w:sz w:val="21"/>
                <w:szCs w:val="21"/>
              </w:rPr>
            </w:pPr>
            <w:r>
              <w:rPr>
                <w:rFonts w:eastAsia="等线" w:cs="Times New Roman"/>
                <w:color w:val="000000"/>
                <w:sz w:val="21"/>
                <w:szCs w:val="21"/>
              </w:rPr>
              <w:t>3658.25</w:t>
            </w:r>
          </w:p>
        </w:tc>
        <w:tc>
          <w:tcPr>
            <w:tcW w:w="634" w:type="pct"/>
            <w:shd w:val="clear" w:color="auto" w:fill="auto"/>
            <w:vAlign w:val="center"/>
          </w:tcPr>
          <w:p>
            <w:pPr>
              <w:pStyle w:val="45"/>
              <w:rPr>
                <w:rFonts w:eastAsia="仿宋" w:cs="Times New Roman"/>
                <w:sz w:val="21"/>
                <w:szCs w:val="21"/>
              </w:rPr>
            </w:pPr>
            <w:r>
              <w:rPr>
                <w:rFonts w:eastAsia="等线" w:cs="Times New Roman"/>
                <w:color w:val="000000"/>
                <w:sz w:val="21"/>
                <w:szCs w:val="21"/>
              </w:rPr>
              <w:t>38.97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6" w:type="pct"/>
            <w:shd w:val="clear" w:color="auto" w:fill="auto"/>
            <w:vAlign w:val="center"/>
          </w:tcPr>
          <w:p>
            <w:pPr>
              <w:pStyle w:val="45"/>
              <w:rPr>
                <w:rFonts w:eastAsia="仿宋" w:cs="Times New Roman"/>
                <w:sz w:val="21"/>
                <w:szCs w:val="21"/>
              </w:rPr>
            </w:pPr>
            <w:r>
              <w:rPr>
                <w:rFonts w:eastAsia="仿宋" w:cs="Times New Roman"/>
                <w:sz w:val="21"/>
                <w:szCs w:val="21"/>
              </w:rPr>
              <w:t>14</w:t>
            </w:r>
          </w:p>
        </w:tc>
        <w:tc>
          <w:tcPr>
            <w:tcW w:w="1754"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其他用地</w:t>
            </w:r>
          </w:p>
        </w:tc>
        <w:tc>
          <w:tcPr>
            <w:tcW w:w="717" w:type="pct"/>
            <w:shd w:val="clear" w:color="auto" w:fill="auto"/>
            <w:vAlign w:val="center"/>
          </w:tcPr>
          <w:p>
            <w:pPr>
              <w:pStyle w:val="45"/>
              <w:rPr>
                <w:rFonts w:eastAsia="仿宋" w:cs="Times New Roman"/>
                <w:sz w:val="21"/>
                <w:szCs w:val="21"/>
              </w:rPr>
            </w:pPr>
            <w:r>
              <w:rPr>
                <w:rFonts w:eastAsia="等线" w:cs="Times New Roman"/>
                <w:color w:val="000000"/>
                <w:sz w:val="21"/>
                <w:szCs w:val="21"/>
              </w:rPr>
              <w:t>1.43</w:t>
            </w:r>
          </w:p>
        </w:tc>
        <w:tc>
          <w:tcPr>
            <w:tcW w:w="863" w:type="pct"/>
            <w:shd w:val="clear" w:color="auto" w:fill="auto"/>
            <w:vAlign w:val="center"/>
          </w:tcPr>
          <w:p>
            <w:pPr>
              <w:pStyle w:val="45"/>
              <w:rPr>
                <w:rFonts w:eastAsia="仿宋" w:cs="Times New Roman"/>
                <w:sz w:val="21"/>
                <w:szCs w:val="21"/>
              </w:rPr>
            </w:pPr>
            <w:r>
              <w:rPr>
                <w:rFonts w:eastAsia="等线" w:cs="Times New Roman"/>
                <w:color w:val="000000"/>
                <w:sz w:val="21"/>
                <w:szCs w:val="21"/>
              </w:rPr>
              <w:t>0.08</w:t>
            </w:r>
          </w:p>
        </w:tc>
        <w:tc>
          <w:tcPr>
            <w:tcW w:w="636" w:type="pct"/>
            <w:shd w:val="clear" w:color="auto" w:fill="auto"/>
            <w:vAlign w:val="center"/>
          </w:tcPr>
          <w:p>
            <w:pPr>
              <w:pStyle w:val="45"/>
              <w:rPr>
                <w:rFonts w:eastAsia="仿宋" w:cs="Times New Roman"/>
                <w:sz w:val="21"/>
                <w:szCs w:val="21"/>
              </w:rPr>
            </w:pPr>
            <w:r>
              <w:rPr>
                <w:rFonts w:eastAsia="等线" w:cs="Times New Roman"/>
                <w:color w:val="000000"/>
                <w:sz w:val="21"/>
                <w:szCs w:val="21"/>
              </w:rPr>
              <w:t>0.4</w:t>
            </w:r>
          </w:p>
        </w:tc>
        <w:tc>
          <w:tcPr>
            <w:tcW w:w="634" w:type="pct"/>
            <w:shd w:val="clear" w:color="auto" w:fill="auto"/>
            <w:vAlign w:val="center"/>
          </w:tcPr>
          <w:p>
            <w:pPr>
              <w:pStyle w:val="45"/>
              <w:rPr>
                <w:rFonts w:eastAsia="仿宋" w:cs="Times New Roman"/>
                <w:sz w:val="21"/>
                <w:szCs w:val="21"/>
              </w:rPr>
            </w:pPr>
            <w:r>
              <w:rPr>
                <w:rFonts w:eastAsia="等线" w:cs="Times New Roman"/>
                <w:color w:val="000000"/>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6" w:type="pct"/>
            <w:shd w:val="clear" w:color="auto" w:fill="auto"/>
            <w:vAlign w:val="center"/>
          </w:tcPr>
          <w:p>
            <w:pPr>
              <w:pStyle w:val="45"/>
              <w:rPr>
                <w:rFonts w:eastAsia="仿宋" w:cs="Times New Roman"/>
                <w:sz w:val="21"/>
                <w:szCs w:val="21"/>
              </w:rPr>
            </w:pPr>
            <w:r>
              <w:rPr>
                <w:rFonts w:eastAsia="仿宋" w:cs="Times New Roman"/>
                <w:sz w:val="21"/>
                <w:szCs w:val="21"/>
              </w:rPr>
              <w:t>15</w:t>
            </w:r>
          </w:p>
        </w:tc>
        <w:tc>
          <w:tcPr>
            <w:tcW w:w="1754"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仓储用地</w:t>
            </w:r>
          </w:p>
        </w:tc>
        <w:tc>
          <w:tcPr>
            <w:tcW w:w="717" w:type="pct"/>
            <w:shd w:val="clear" w:color="auto" w:fill="auto"/>
            <w:vAlign w:val="center"/>
          </w:tcPr>
          <w:p>
            <w:pPr>
              <w:pStyle w:val="45"/>
              <w:rPr>
                <w:rFonts w:eastAsia="仿宋" w:cs="Times New Roman"/>
                <w:sz w:val="21"/>
                <w:szCs w:val="21"/>
              </w:rPr>
            </w:pPr>
            <w:r>
              <w:rPr>
                <w:rFonts w:eastAsia="等线" w:cs="Times New Roman"/>
                <w:color w:val="000000"/>
                <w:sz w:val="21"/>
                <w:szCs w:val="21"/>
              </w:rPr>
              <w:t>0.01</w:t>
            </w:r>
          </w:p>
        </w:tc>
        <w:tc>
          <w:tcPr>
            <w:tcW w:w="863" w:type="pct"/>
            <w:shd w:val="clear" w:color="auto" w:fill="auto"/>
            <w:vAlign w:val="center"/>
          </w:tcPr>
          <w:p>
            <w:pPr>
              <w:pStyle w:val="45"/>
              <w:rPr>
                <w:rFonts w:eastAsia="仿宋" w:cs="Times New Roman"/>
                <w:sz w:val="21"/>
                <w:szCs w:val="21"/>
              </w:rPr>
            </w:pPr>
            <w:r>
              <w:rPr>
                <w:rFonts w:eastAsia="等线" w:cs="Times New Roman"/>
                <w:color w:val="000000"/>
                <w:sz w:val="21"/>
                <w:szCs w:val="21"/>
              </w:rPr>
              <w:t>0</w:t>
            </w:r>
          </w:p>
        </w:tc>
        <w:tc>
          <w:tcPr>
            <w:tcW w:w="636" w:type="pct"/>
            <w:shd w:val="clear" w:color="auto" w:fill="auto"/>
            <w:vAlign w:val="center"/>
          </w:tcPr>
          <w:p>
            <w:pPr>
              <w:pStyle w:val="45"/>
              <w:rPr>
                <w:rFonts w:eastAsia="仿宋" w:cs="Times New Roman"/>
                <w:sz w:val="21"/>
                <w:szCs w:val="21"/>
              </w:rPr>
            </w:pPr>
            <w:r>
              <w:rPr>
                <w:rFonts w:eastAsia="等线" w:cs="Times New Roman"/>
                <w:color w:val="000000"/>
                <w:sz w:val="21"/>
                <w:szCs w:val="21"/>
              </w:rPr>
              <w:t>0.01</w:t>
            </w:r>
          </w:p>
        </w:tc>
        <w:tc>
          <w:tcPr>
            <w:tcW w:w="634" w:type="pct"/>
            <w:shd w:val="clear" w:color="auto" w:fill="auto"/>
            <w:vAlign w:val="center"/>
          </w:tcPr>
          <w:p>
            <w:pPr>
              <w:pStyle w:val="45"/>
              <w:rPr>
                <w:rFonts w:eastAsia="仿宋" w:cs="Times New Roman"/>
                <w:sz w:val="21"/>
                <w:szCs w:val="21"/>
              </w:rPr>
            </w:pPr>
            <w:r>
              <w:rPr>
                <w:rFonts w:eastAsia="等线" w:cs="Times New Roman"/>
                <w:color w:val="000000"/>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50" w:type="pct"/>
            <w:gridSpan w:val="2"/>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合计</w:t>
            </w:r>
          </w:p>
        </w:tc>
        <w:tc>
          <w:tcPr>
            <w:tcW w:w="717"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 xml:space="preserve">9386.58 </w:t>
            </w:r>
          </w:p>
        </w:tc>
        <w:tc>
          <w:tcPr>
            <w:tcW w:w="863"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eastAsia="等线" w:cs="Times New Roman"/>
                <w:color w:val="000000"/>
                <w:sz w:val="21"/>
                <w:szCs w:val="21"/>
              </w:rPr>
              <w:t>9386.58</w:t>
            </w:r>
          </w:p>
        </w:tc>
        <w:tc>
          <w:tcPr>
            <w:tcW w:w="636"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eastAsia="等线" w:cs="Times New Roman"/>
                <w:color w:val="000000"/>
                <w:sz w:val="21"/>
                <w:szCs w:val="21"/>
              </w:rPr>
              <w:t>100</w:t>
            </w:r>
          </w:p>
        </w:tc>
        <w:tc>
          <w:tcPr>
            <w:tcW w:w="634"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eastAsia="等线" w:cs="Times New Roman"/>
                <w:color w:val="000000"/>
                <w:sz w:val="21"/>
                <w:szCs w:val="21"/>
              </w:rPr>
              <w:t>9386.58</w:t>
            </w:r>
          </w:p>
        </w:tc>
      </w:tr>
    </w:tbl>
    <w:p>
      <w:pPr>
        <w:ind w:firstLine="560"/>
        <w:rPr>
          <w:rFonts w:cs="Times New Roman"/>
        </w:rPr>
      </w:pPr>
    </w:p>
    <w:p>
      <w:pPr>
        <w:pStyle w:val="4"/>
        <w:numPr>
          <w:ilvl w:val="0"/>
          <w:numId w:val="85"/>
        </w:numPr>
        <w:spacing w:after="395"/>
        <w:ind w:left="0" w:firstLine="0"/>
      </w:pPr>
      <w:bookmarkStart w:id="722" w:name="_Toc113925898"/>
      <w:bookmarkStart w:id="723" w:name="_Toc29042"/>
      <w:bookmarkStart w:id="724" w:name="_Toc117114421"/>
      <w:bookmarkStart w:id="725" w:name="_Toc113925646"/>
      <w:bookmarkStart w:id="726" w:name="_Toc21678"/>
      <w:bookmarkStart w:id="727" w:name="_Toc114084691"/>
      <w:r>
        <w:rPr>
          <w:rFonts w:hint="eastAsia"/>
        </w:rPr>
        <w:t>投资估算与效益评价</w:t>
      </w:r>
      <w:bookmarkEnd w:id="722"/>
      <w:bookmarkEnd w:id="723"/>
      <w:bookmarkEnd w:id="724"/>
      <w:bookmarkEnd w:id="725"/>
      <w:bookmarkEnd w:id="726"/>
      <w:bookmarkEnd w:id="727"/>
    </w:p>
    <w:p>
      <w:pPr>
        <w:ind w:firstLine="560"/>
        <w:rPr>
          <w:rFonts w:ascii="仿宋" w:hAnsi="仿宋" w:cs="仿宋"/>
          <w:szCs w:val="28"/>
        </w:rPr>
      </w:pPr>
      <w:r>
        <w:rPr>
          <w:rFonts w:hint="eastAsia" w:ascii="仿宋" w:hAnsi="仿宋" w:cs="仿宋"/>
          <w:szCs w:val="28"/>
        </w:rPr>
        <w:t>该</w:t>
      </w:r>
      <w:r>
        <w:rPr>
          <w:rFonts w:ascii="仿宋" w:hAnsi="仿宋" w:cs="仿宋"/>
          <w:szCs w:val="28"/>
        </w:rPr>
        <w:t>项目的投资</w:t>
      </w:r>
      <w:r>
        <w:rPr>
          <w:rFonts w:hint="eastAsia" w:ascii="仿宋" w:hAnsi="仿宋" w:cs="仿宋"/>
          <w:szCs w:val="28"/>
        </w:rPr>
        <w:t>估算</w:t>
      </w:r>
      <w:r>
        <w:rPr>
          <w:rFonts w:ascii="仿宋" w:hAnsi="仿宋" w:cs="仿宋"/>
          <w:szCs w:val="28"/>
        </w:rPr>
        <w:t>是在进行广泛物价和费用调查的基础上，参照国内类似工程的费用水平，并考虑到</w:t>
      </w:r>
      <w:r>
        <w:rPr>
          <w:rFonts w:hint="eastAsia" w:ascii="仿宋" w:hAnsi="仿宋" w:cs="仿宋"/>
          <w:szCs w:val="28"/>
        </w:rPr>
        <w:t>湖南省、常德市及石门县</w:t>
      </w:r>
      <w:r>
        <w:rPr>
          <w:rFonts w:ascii="仿宋" w:hAnsi="仿宋" w:cs="仿宋"/>
          <w:szCs w:val="28"/>
        </w:rPr>
        <w:t>现行的物价水平，以及建设条件对工程投资带来的影响因素等综合分析后进行</w:t>
      </w:r>
      <w:r>
        <w:rPr>
          <w:rFonts w:hint="eastAsia" w:ascii="仿宋" w:hAnsi="仿宋" w:cs="仿宋"/>
          <w:szCs w:val="28"/>
        </w:rPr>
        <w:t>估算</w:t>
      </w:r>
      <w:r>
        <w:rPr>
          <w:rFonts w:ascii="仿宋" w:hAnsi="仿宋" w:cs="仿宋"/>
          <w:szCs w:val="28"/>
        </w:rPr>
        <w:t>的。</w:t>
      </w:r>
    </w:p>
    <w:p>
      <w:pPr>
        <w:pStyle w:val="5"/>
        <w:numPr>
          <w:ilvl w:val="1"/>
          <w:numId w:val="85"/>
        </w:numPr>
        <w:spacing w:before="197"/>
      </w:pPr>
      <w:bookmarkStart w:id="728" w:name="_Toc6974"/>
      <w:bookmarkStart w:id="729" w:name="_Toc113925647"/>
      <w:bookmarkStart w:id="730" w:name="_Toc113925899"/>
      <w:bookmarkStart w:id="731" w:name="_Toc13303"/>
      <w:bookmarkStart w:id="732" w:name="_Toc117114422"/>
      <w:bookmarkStart w:id="733" w:name="_Toc114084692"/>
      <w:r>
        <w:rPr>
          <w:rFonts w:hint="eastAsia"/>
        </w:rPr>
        <w:t>估算依据</w:t>
      </w:r>
      <w:bookmarkEnd w:id="728"/>
      <w:bookmarkEnd w:id="729"/>
      <w:bookmarkEnd w:id="730"/>
      <w:bookmarkEnd w:id="731"/>
      <w:bookmarkEnd w:id="732"/>
      <w:bookmarkEnd w:id="733"/>
    </w:p>
    <w:p>
      <w:pPr>
        <w:pStyle w:val="6"/>
        <w:numPr>
          <w:ilvl w:val="2"/>
          <w:numId w:val="85"/>
        </w:numPr>
      </w:pPr>
      <w:bookmarkStart w:id="734" w:name="_Toc113925648"/>
      <w:bookmarkStart w:id="735" w:name="_Toc113925900"/>
      <w:r>
        <w:rPr>
          <w:rFonts w:hint="eastAsia"/>
        </w:rPr>
        <w:t>估算依据</w:t>
      </w:r>
      <w:bookmarkEnd w:id="734"/>
      <w:bookmarkEnd w:id="735"/>
    </w:p>
    <w:p>
      <w:pPr>
        <w:pStyle w:val="47"/>
        <w:numPr>
          <w:ilvl w:val="0"/>
          <w:numId w:val="86"/>
        </w:numPr>
        <w:ind w:firstLineChars="0"/>
        <w:rPr>
          <w:rFonts w:cs="Times New Roman"/>
        </w:rPr>
      </w:pPr>
      <w:r>
        <w:rPr>
          <w:rFonts w:hint="eastAsia" w:cs="Times New Roman"/>
        </w:rPr>
        <w:t>《湿地保护工程项目建设标准》（建标196-2018）；</w:t>
      </w:r>
    </w:p>
    <w:p>
      <w:pPr>
        <w:pStyle w:val="47"/>
        <w:numPr>
          <w:ilvl w:val="0"/>
          <w:numId w:val="86"/>
        </w:numPr>
        <w:ind w:firstLineChars="0"/>
        <w:rPr>
          <w:rFonts w:cs="Times New Roman"/>
        </w:rPr>
      </w:pPr>
      <w:r>
        <w:rPr>
          <w:rFonts w:hint="eastAsia" w:cs="Times New Roman"/>
        </w:rPr>
        <w:t>《关于印发&lt;湖南省建筑工程概算定额&gt;的通知》（湖南省住房和城乡建设厅湘建价〔2018〕43号）；</w:t>
      </w:r>
    </w:p>
    <w:p>
      <w:pPr>
        <w:pStyle w:val="47"/>
        <w:numPr>
          <w:ilvl w:val="0"/>
          <w:numId w:val="86"/>
        </w:numPr>
        <w:ind w:firstLineChars="0"/>
        <w:rPr>
          <w:rFonts w:cs="Times New Roman"/>
        </w:rPr>
      </w:pPr>
      <w:r>
        <w:rPr>
          <w:rFonts w:hint="eastAsia" w:cs="Times New Roman"/>
        </w:rPr>
        <w:t>《基本建设项目建设成本管理规定》（财政部</w:t>
      </w:r>
      <w:r>
        <w:rPr>
          <w:rFonts w:cs="Times New Roman"/>
        </w:rPr>
        <w:t xml:space="preserve"> </w:t>
      </w:r>
      <w:r>
        <w:rPr>
          <w:rFonts w:hint="eastAsia" w:cs="Times New Roman"/>
        </w:rPr>
        <w:t>财建〔2016〕504号）；</w:t>
      </w:r>
    </w:p>
    <w:p>
      <w:pPr>
        <w:pStyle w:val="47"/>
        <w:numPr>
          <w:ilvl w:val="0"/>
          <w:numId w:val="86"/>
        </w:numPr>
        <w:ind w:firstLineChars="0"/>
        <w:rPr>
          <w:rFonts w:cs="Times New Roman"/>
        </w:rPr>
      </w:pPr>
      <w:r>
        <w:rPr>
          <w:rFonts w:hint="eastAsia" w:cs="Times New Roman"/>
        </w:rPr>
        <w:t>《基本建设财务规则》（财政部令第81号，自2016年9月1日起实施）；</w:t>
      </w:r>
    </w:p>
    <w:p>
      <w:pPr>
        <w:pStyle w:val="47"/>
        <w:numPr>
          <w:ilvl w:val="0"/>
          <w:numId w:val="86"/>
        </w:numPr>
        <w:ind w:firstLineChars="0"/>
        <w:rPr>
          <w:rFonts w:cs="Times New Roman"/>
        </w:rPr>
      </w:pPr>
      <w:r>
        <w:rPr>
          <w:rFonts w:hint="eastAsia" w:cs="Times New Roman"/>
        </w:rPr>
        <w:t>《湖南省仿古建筑及园林景观工程消耗量标准》（2014版）；</w:t>
      </w:r>
    </w:p>
    <w:p>
      <w:pPr>
        <w:pStyle w:val="47"/>
        <w:numPr>
          <w:ilvl w:val="0"/>
          <w:numId w:val="86"/>
        </w:numPr>
        <w:ind w:firstLineChars="0"/>
        <w:rPr>
          <w:rFonts w:cs="Times New Roman"/>
        </w:rPr>
      </w:pPr>
      <w:r>
        <w:rPr>
          <w:rFonts w:hint="eastAsia" w:cs="Times New Roman"/>
        </w:rPr>
        <w:t>《湖南省建设工程消耗量标准》（2014版）；</w:t>
      </w:r>
    </w:p>
    <w:p>
      <w:pPr>
        <w:pStyle w:val="47"/>
        <w:numPr>
          <w:ilvl w:val="0"/>
          <w:numId w:val="86"/>
        </w:numPr>
        <w:ind w:firstLineChars="0"/>
        <w:rPr>
          <w:rFonts w:cs="Times New Roman"/>
        </w:rPr>
      </w:pPr>
      <w:r>
        <w:rPr>
          <w:rFonts w:hint="eastAsia" w:cs="Times New Roman"/>
        </w:rPr>
        <w:t>《湖南省建设工程装饰装修消耗量标准》（2014版）；</w:t>
      </w:r>
    </w:p>
    <w:p>
      <w:pPr>
        <w:pStyle w:val="47"/>
        <w:numPr>
          <w:ilvl w:val="0"/>
          <w:numId w:val="86"/>
        </w:numPr>
        <w:ind w:firstLineChars="0"/>
        <w:rPr>
          <w:rFonts w:cs="Times New Roman"/>
        </w:rPr>
      </w:pPr>
      <w:r>
        <w:rPr>
          <w:rFonts w:hint="eastAsia" w:cs="Times New Roman"/>
        </w:rPr>
        <w:t>《关于规范工程造价咨询服务收费通知》（中国建设工程造价管理协会中价协〔2013〕35号）；</w:t>
      </w:r>
    </w:p>
    <w:p>
      <w:pPr>
        <w:pStyle w:val="47"/>
        <w:numPr>
          <w:ilvl w:val="0"/>
          <w:numId w:val="86"/>
        </w:numPr>
        <w:ind w:firstLineChars="0"/>
        <w:rPr>
          <w:rFonts w:cs="Times New Roman"/>
        </w:rPr>
      </w:pPr>
      <w:r>
        <w:rPr>
          <w:rFonts w:hint="eastAsia" w:cs="Times New Roman"/>
        </w:rPr>
        <w:t>《建设工程工程量清单计价规范》（GB50500-2013）；</w:t>
      </w:r>
    </w:p>
    <w:p>
      <w:pPr>
        <w:pStyle w:val="47"/>
        <w:numPr>
          <w:ilvl w:val="0"/>
          <w:numId w:val="86"/>
        </w:numPr>
        <w:ind w:firstLineChars="0"/>
        <w:rPr>
          <w:rFonts w:cs="Times New Roman"/>
        </w:rPr>
      </w:pPr>
      <w:r>
        <w:rPr>
          <w:rFonts w:hint="eastAsia" w:cs="Times New Roman"/>
        </w:rPr>
        <w:t>《建设工程监理与相关服务收费管理规定》（国家发展计划委员会建设部发改价格〔2007〕670号）；</w:t>
      </w:r>
    </w:p>
    <w:p>
      <w:pPr>
        <w:pStyle w:val="47"/>
        <w:numPr>
          <w:ilvl w:val="0"/>
          <w:numId w:val="86"/>
        </w:numPr>
        <w:ind w:firstLineChars="0"/>
        <w:rPr>
          <w:rFonts w:cs="Times New Roman"/>
        </w:rPr>
      </w:pPr>
      <w:r>
        <w:rPr>
          <w:rFonts w:hint="eastAsia" w:cs="Times New Roman"/>
        </w:rPr>
        <w:t>《公路基本建设工程概算、预算编制办法》（JTG/B06-2007）</w:t>
      </w:r>
    </w:p>
    <w:p>
      <w:pPr>
        <w:pStyle w:val="47"/>
        <w:numPr>
          <w:ilvl w:val="0"/>
          <w:numId w:val="86"/>
        </w:numPr>
        <w:ind w:firstLineChars="0"/>
        <w:rPr>
          <w:rFonts w:cs="Times New Roman"/>
        </w:rPr>
      </w:pPr>
      <w:r>
        <w:rPr>
          <w:rFonts w:hint="eastAsia" w:cs="Times New Roman"/>
        </w:rPr>
        <w:t>《公路工程预算定额》（JTG/B06-02-2007）；</w:t>
      </w:r>
    </w:p>
    <w:p>
      <w:pPr>
        <w:pStyle w:val="47"/>
        <w:numPr>
          <w:ilvl w:val="0"/>
          <w:numId w:val="86"/>
        </w:numPr>
        <w:ind w:firstLineChars="0"/>
        <w:rPr>
          <w:rFonts w:cs="Times New Roman"/>
        </w:rPr>
      </w:pPr>
      <w:r>
        <w:rPr>
          <w:rFonts w:hint="eastAsia" w:cs="Times New Roman"/>
        </w:rPr>
        <w:t>《建筑工程技术经济参考手册》（中国建筑科学出版社2007年9月）；</w:t>
      </w:r>
    </w:p>
    <w:p>
      <w:pPr>
        <w:pStyle w:val="47"/>
        <w:numPr>
          <w:ilvl w:val="0"/>
          <w:numId w:val="86"/>
        </w:numPr>
        <w:ind w:firstLineChars="0"/>
        <w:rPr>
          <w:rFonts w:cs="Times New Roman"/>
        </w:rPr>
      </w:pPr>
      <w:r>
        <w:rPr>
          <w:rFonts w:hint="eastAsia" w:cs="Times New Roman"/>
        </w:rPr>
        <w:t>《工程勘察设计收费管理规定》（国家发展计划委员会建设部计价格〔2002〕10号）；</w:t>
      </w:r>
    </w:p>
    <w:p>
      <w:pPr>
        <w:pStyle w:val="47"/>
        <w:numPr>
          <w:ilvl w:val="0"/>
          <w:numId w:val="86"/>
        </w:numPr>
        <w:ind w:firstLineChars="0"/>
        <w:rPr>
          <w:rFonts w:cs="Times New Roman"/>
        </w:rPr>
      </w:pPr>
      <w:r>
        <w:rPr>
          <w:rFonts w:hint="eastAsia" w:cs="Times New Roman"/>
        </w:rPr>
        <w:t>《招标代理服务收费管理暂行办法》（国家发展计划委员会计价格〔</w:t>
      </w:r>
      <w:r>
        <w:rPr>
          <w:rFonts w:cs="Times New Roman"/>
        </w:rPr>
        <w:t>2</w:t>
      </w:r>
      <w:r>
        <w:rPr>
          <w:rFonts w:hint="eastAsia" w:cs="Times New Roman"/>
        </w:rPr>
        <w:t>002〕1980号）；</w:t>
      </w:r>
    </w:p>
    <w:p>
      <w:pPr>
        <w:pStyle w:val="47"/>
        <w:numPr>
          <w:ilvl w:val="0"/>
          <w:numId w:val="86"/>
        </w:numPr>
        <w:ind w:firstLineChars="0"/>
        <w:rPr>
          <w:rFonts w:cs="Times New Roman"/>
        </w:rPr>
      </w:pPr>
      <w:r>
        <w:rPr>
          <w:rFonts w:hint="eastAsia" w:cs="Times New Roman"/>
        </w:rPr>
        <w:t>《建设项目前期工作咨询收费暂行规定》（国家发展计划委员会计价格〔1999〕1283号）；</w:t>
      </w:r>
    </w:p>
    <w:p>
      <w:pPr>
        <w:pStyle w:val="47"/>
        <w:numPr>
          <w:ilvl w:val="0"/>
          <w:numId w:val="86"/>
        </w:numPr>
        <w:ind w:firstLineChars="0"/>
        <w:rPr>
          <w:rFonts w:cs="Times New Roman"/>
        </w:rPr>
      </w:pPr>
      <w:r>
        <w:rPr>
          <w:rFonts w:hint="eastAsia" w:cs="Times New Roman"/>
        </w:rPr>
        <w:t>保护、基础设施等工程参照湖南省建筑工程预算定额和常德市最新的同类项目实际造价、各种设备均按现行价格计算；</w:t>
      </w:r>
    </w:p>
    <w:p>
      <w:pPr>
        <w:pStyle w:val="47"/>
        <w:numPr>
          <w:ilvl w:val="0"/>
          <w:numId w:val="86"/>
        </w:numPr>
        <w:ind w:firstLineChars="0"/>
        <w:rPr>
          <w:rFonts w:cs="Times New Roman"/>
        </w:rPr>
      </w:pPr>
      <w:r>
        <w:rPr>
          <w:rFonts w:hint="eastAsia" w:cs="Times New Roman"/>
        </w:rPr>
        <w:t>植被工程建设投资根据石门县多年来开展的生态工程建设项目的投资指标估算；</w:t>
      </w:r>
    </w:p>
    <w:p>
      <w:pPr>
        <w:pStyle w:val="47"/>
        <w:numPr>
          <w:ilvl w:val="0"/>
          <w:numId w:val="86"/>
        </w:numPr>
        <w:ind w:firstLineChars="0"/>
      </w:pPr>
      <w:r>
        <w:rPr>
          <w:rFonts w:hint="eastAsia" w:cs="Times New Roman"/>
        </w:rPr>
        <w:t>石门县社会经济指标、现行市场价格。</w:t>
      </w:r>
    </w:p>
    <w:p>
      <w:pPr>
        <w:pStyle w:val="6"/>
        <w:numPr>
          <w:ilvl w:val="2"/>
          <w:numId w:val="85"/>
        </w:numPr>
      </w:pPr>
      <w:bookmarkStart w:id="736" w:name="_Toc113925649"/>
      <w:bookmarkStart w:id="737" w:name="_Toc113925901"/>
      <w:r>
        <w:rPr>
          <w:rFonts w:hint="eastAsia"/>
        </w:rPr>
        <w:t>估算范围</w:t>
      </w:r>
      <w:bookmarkEnd w:id="736"/>
      <w:bookmarkEnd w:id="737"/>
    </w:p>
    <w:p>
      <w:pPr>
        <w:pStyle w:val="47"/>
        <w:numPr>
          <w:ilvl w:val="0"/>
          <w:numId w:val="87"/>
        </w:numPr>
        <w:ind w:firstLineChars="0"/>
        <w:rPr>
          <w:rFonts w:cs="Times New Roman"/>
        </w:rPr>
      </w:pPr>
      <w:r>
        <w:rPr>
          <w:rFonts w:hint="eastAsia" w:cs="Times New Roman"/>
        </w:rPr>
        <w:t>国家湿地公园规划期内的项目建设费用，工程建设费包括保护（恢复）规划、科普宣教规划、科研监测规划、合理利用规划、防御灾害规划、基础设施规划、管理规划等所有建设项目的费用。</w:t>
      </w:r>
    </w:p>
    <w:p>
      <w:pPr>
        <w:pStyle w:val="47"/>
        <w:numPr>
          <w:ilvl w:val="0"/>
          <w:numId w:val="87"/>
        </w:numPr>
        <w:ind w:firstLineChars="0"/>
        <w:rPr>
          <w:rFonts w:cs="Times New Roman"/>
        </w:rPr>
      </w:pPr>
      <w:r>
        <w:rPr>
          <w:rFonts w:hint="eastAsia" w:cs="Times New Roman"/>
        </w:rPr>
        <w:t>工程建设其它费用包括可研咨询费、勘察设计费、建设单位管理费、工程监理费、招投标费。</w:t>
      </w:r>
    </w:p>
    <w:p>
      <w:pPr>
        <w:pStyle w:val="47"/>
        <w:numPr>
          <w:ilvl w:val="0"/>
          <w:numId w:val="87"/>
        </w:numPr>
        <w:ind w:firstLineChars="0"/>
        <w:rPr>
          <w:rFonts w:cs="Times New Roman"/>
        </w:rPr>
      </w:pPr>
      <w:r>
        <w:rPr>
          <w:rFonts w:hint="eastAsia" w:cs="Times New Roman"/>
        </w:rPr>
        <w:t>基本预备费。</w:t>
      </w:r>
    </w:p>
    <w:p>
      <w:pPr>
        <w:pStyle w:val="6"/>
        <w:numPr>
          <w:ilvl w:val="2"/>
          <w:numId w:val="85"/>
        </w:numPr>
      </w:pPr>
      <w:bookmarkStart w:id="738" w:name="_Toc113925902"/>
      <w:bookmarkStart w:id="739" w:name="_Toc113925650"/>
      <w:r>
        <w:rPr>
          <w:rFonts w:hint="eastAsia"/>
        </w:rPr>
        <w:t>主要技术经济指标</w:t>
      </w:r>
      <w:bookmarkEnd w:id="738"/>
      <w:bookmarkEnd w:id="739"/>
    </w:p>
    <w:p>
      <w:pPr>
        <w:pStyle w:val="47"/>
        <w:numPr>
          <w:ilvl w:val="0"/>
          <w:numId w:val="88"/>
        </w:numPr>
        <w:ind w:firstLineChars="0"/>
        <w:rPr>
          <w:rFonts w:cs="Times New Roman"/>
        </w:rPr>
      </w:pPr>
      <w:r>
        <w:rPr>
          <w:rFonts w:hint="eastAsia" w:cs="Times New Roman"/>
        </w:rPr>
        <w:t>设备价格：凡属国家定型产品，均采用生产厂家的对外供货价格，非标准设备则采用估算价格，运杂费按设备原价的5%计入设备造价内，不另行计取。</w:t>
      </w:r>
    </w:p>
    <w:p>
      <w:pPr>
        <w:pStyle w:val="47"/>
        <w:numPr>
          <w:ilvl w:val="0"/>
          <w:numId w:val="88"/>
        </w:numPr>
        <w:ind w:firstLineChars="0"/>
        <w:rPr>
          <w:rFonts w:cs="Times New Roman"/>
        </w:rPr>
      </w:pPr>
      <w:r>
        <w:rPr>
          <w:rFonts w:hint="eastAsia" w:cs="Times New Roman"/>
        </w:rPr>
        <w:t>房建工程按湖南省建筑工程概算定额，并依据石门县材料预算价格计算估算单价，并结合当地工程造价水平确定。</w:t>
      </w:r>
    </w:p>
    <w:p>
      <w:pPr>
        <w:pStyle w:val="47"/>
        <w:numPr>
          <w:ilvl w:val="0"/>
          <w:numId w:val="88"/>
        </w:numPr>
        <w:rPr>
          <w:rFonts w:cs="Times New Roman"/>
        </w:rPr>
      </w:pPr>
      <w:r>
        <w:rPr>
          <w:rFonts w:hint="eastAsia" w:cs="Times New Roman"/>
        </w:rPr>
        <w:t>设施造价按常德市相关部门提供的有关技术经济指标计算。</w:t>
      </w:r>
    </w:p>
    <w:p>
      <w:pPr>
        <w:pStyle w:val="47"/>
        <w:numPr>
          <w:ilvl w:val="0"/>
          <w:numId w:val="88"/>
        </w:numPr>
        <w:rPr>
          <w:rFonts w:cs="Times New Roman"/>
        </w:rPr>
      </w:pPr>
      <w:r>
        <w:rPr>
          <w:rFonts w:hint="eastAsia" w:cs="Times New Roman"/>
        </w:rPr>
        <w:t>工程建设其它费中的可研咨询费、勘察设计费、建设单位管理费、工程监理费、招投标费等依据有关规定分别计取。具体取费标准如下：</w:t>
      </w:r>
    </w:p>
    <w:p>
      <w:pPr>
        <w:ind w:firstLine="560"/>
        <w:rPr>
          <w:rFonts w:cs="Times New Roman"/>
        </w:rPr>
      </w:pPr>
      <w:r>
        <w:rPr>
          <w:rFonts w:hint="eastAsia" w:cs="Times New Roman"/>
        </w:rPr>
        <w:t>① 可研咨询费：按工程建设费的1.0%计算；</w:t>
      </w:r>
    </w:p>
    <w:p>
      <w:pPr>
        <w:ind w:firstLine="560"/>
        <w:rPr>
          <w:rFonts w:cs="Times New Roman"/>
        </w:rPr>
      </w:pPr>
      <w:r>
        <w:rPr>
          <w:rFonts w:hint="eastAsia" w:cs="Times New Roman"/>
        </w:rPr>
        <w:t>② 勘察设计费：按工程建设费的2.5%估算；</w:t>
      </w:r>
    </w:p>
    <w:p>
      <w:pPr>
        <w:ind w:firstLine="560"/>
        <w:rPr>
          <w:rFonts w:cs="Times New Roman"/>
        </w:rPr>
      </w:pPr>
      <w:r>
        <w:rPr>
          <w:rFonts w:hint="eastAsia" w:cs="Times New Roman"/>
        </w:rPr>
        <w:t>③ 建设单位管理费：按工程建设费的1.0%估算；</w:t>
      </w:r>
    </w:p>
    <w:p>
      <w:pPr>
        <w:ind w:firstLine="560"/>
        <w:rPr>
          <w:rFonts w:cs="Times New Roman"/>
        </w:rPr>
      </w:pPr>
      <w:r>
        <w:rPr>
          <w:rFonts w:hint="eastAsia" w:cs="Times New Roman"/>
        </w:rPr>
        <w:t>④ 工程监理费：按工程建设费的1.0%估算；</w:t>
      </w:r>
    </w:p>
    <w:p>
      <w:pPr>
        <w:ind w:firstLine="560"/>
        <w:rPr>
          <w:rFonts w:cs="Times New Roman"/>
        </w:rPr>
      </w:pPr>
      <w:r>
        <w:rPr>
          <w:rFonts w:hint="eastAsia" w:cs="Times New Roman"/>
        </w:rPr>
        <w:t>⑤ 招投标费：按工程建设费的0.5%估算。</w:t>
      </w:r>
    </w:p>
    <w:p>
      <w:pPr>
        <w:pStyle w:val="47"/>
        <w:numPr>
          <w:ilvl w:val="0"/>
          <w:numId w:val="88"/>
        </w:numPr>
        <w:rPr>
          <w:rFonts w:cs="Times New Roman"/>
        </w:rPr>
      </w:pPr>
      <w:r>
        <w:rPr>
          <w:rFonts w:hint="eastAsia" w:cs="Times New Roman"/>
        </w:rPr>
        <w:t>预备费：只计算基本预备费，取工程建设费的5%。</w:t>
      </w:r>
    </w:p>
    <w:p>
      <w:pPr>
        <w:pStyle w:val="5"/>
        <w:numPr>
          <w:ilvl w:val="1"/>
          <w:numId w:val="85"/>
        </w:numPr>
        <w:spacing w:before="197"/>
      </w:pPr>
      <w:bookmarkStart w:id="740" w:name="_Toc113925903"/>
      <w:bookmarkStart w:id="741" w:name="_Toc114084693"/>
      <w:bookmarkStart w:id="742" w:name="_Toc31219"/>
      <w:bookmarkStart w:id="743" w:name="_Toc113925651"/>
      <w:bookmarkStart w:id="744" w:name="_Toc13969"/>
      <w:bookmarkStart w:id="745" w:name="_Toc117114423"/>
      <w:r>
        <w:rPr>
          <w:rFonts w:hint="eastAsia"/>
        </w:rPr>
        <w:t>投资估算</w:t>
      </w:r>
      <w:bookmarkEnd w:id="740"/>
      <w:bookmarkEnd w:id="741"/>
      <w:bookmarkEnd w:id="742"/>
      <w:bookmarkEnd w:id="743"/>
      <w:bookmarkEnd w:id="744"/>
      <w:bookmarkEnd w:id="745"/>
    </w:p>
    <w:p>
      <w:pPr>
        <w:ind w:firstLine="560"/>
        <w:rPr>
          <w:rFonts w:cs="Times New Roman"/>
        </w:rPr>
      </w:pPr>
      <w:r>
        <w:rPr>
          <w:rFonts w:hint="eastAsia" w:cs="Times New Roman"/>
        </w:rPr>
        <w:t>经估算，仙阳湖国家湿地公园在建设期内共需投入建设资金</w:t>
      </w:r>
      <w:r>
        <w:rPr>
          <w:rFonts w:cs="Times New Roman"/>
        </w:rPr>
        <w:t>53226.83</w:t>
      </w:r>
      <w:r>
        <w:rPr>
          <w:rFonts w:hint="eastAsia" w:cs="Times New Roman"/>
        </w:rPr>
        <w:t>万元，其中工程建设费</w:t>
      </w:r>
      <w:r>
        <w:rPr>
          <w:rFonts w:cs="Times New Roman"/>
        </w:rPr>
        <w:t>47952.10</w:t>
      </w:r>
      <w:r>
        <w:rPr>
          <w:rFonts w:hint="eastAsia" w:cs="Times New Roman"/>
        </w:rPr>
        <w:t>万元，占总建设投资的</w:t>
      </w:r>
      <w:r>
        <w:rPr>
          <w:rFonts w:cs="Times New Roman"/>
        </w:rPr>
        <w:t>90.09%</w:t>
      </w:r>
      <w:r>
        <w:rPr>
          <w:rFonts w:hint="eastAsia" w:cs="Times New Roman"/>
        </w:rPr>
        <w:t>；工程建设其它费用</w:t>
      </w:r>
      <w:r>
        <w:rPr>
          <w:rFonts w:cs="Times New Roman"/>
        </w:rPr>
        <w:t>2877.13</w:t>
      </w:r>
      <w:r>
        <w:rPr>
          <w:rFonts w:hint="eastAsia" w:cs="Times New Roman"/>
        </w:rPr>
        <w:t>万元，占总建设投资的</w:t>
      </w:r>
      <w:r>
        <w:rPr>
          <w:rFonts w:cs="Times New Roman"/>
        </w:rPr>
        <w:t>5.41</w:t>
      </w:r>
      <w:r>
        <w:rPr>
          <w:rFonts w:hint="eastAsia" w:cs="Times New Roman"/>
        </w:rPr>
        <w:t>%；基本预备费</w:t>
      </w:r>
      <w:r>
        <w:rPr>
          <w:rFonts w:cs="Times New Roman"/>
        </w:rPr>
        <w:t>2397.61</w:t>
      </w:r>
      <w:r>
        <w:rPr>
          <w:rFonts w:hint="eastAsia" w:cs="Times New Roman"/>
        </w:rPr>
        <w:t>万元，占总建设投资的</w:t>
      </w:r>
      <w:r>
        <w:rPr>
          <w:rFonts w:cs="Times New Roman"/>
        </w:rPr>
        <w:t>4.50</w:t>
      </w:r>
      <w:r>
        <w:rPr>
          <w:rFonts w:hint="eastAsia" w:cs="Times New Roman"/>
        </w:rPr>
        <w:t>%。</w:t>
      </w:r>
    </w:p>
    <w:p>
      <w:pPr>
        <w:ind w:firstLine="560"/>
        <w:rPr>
          <w:rFonts w:cs="Times New Roman"/>
        </w:rPr>
      </w:pPr>
      <w:r>
        <w:rPr>
          <w:rFonts w:hint="eastAsia" w:cs="Times New Roman"/>
        </w:rPr>
        <w:t>按建设投资构成分，建筑安装工程费</w:t>
      </w:r>
      <w:r>
        <w:rPr>
          <w:rFonts w:cs="Times New Roman"/>
        </w:rPr>
        <w:t>34638.10</w:t>
      </w:r>
      <w:r>
        <w:rPr>
          <w:rFonts w:hint="eastAsia" w:cs="Times New Roman"/>
        </w:rPr>
        <w:t>元，占总建设投资的</w:t>
      </w:r>
      <w:r>
        <w:rPr>
          <w:rFonts w:cs="Times New Roman"/>
        </w:rPr>
        <w:t>65.08%</w:t>
      </w:r>
      <w:r>
        <w:rPr>
          <w:rFonts w:hint="eastAsia" w:cs="Times New Roman"/>
        </w:rPr>
        <w:t>；设备费</w:t>
      </w:r>
      <w:r>
        <w:rPr>
          <w:rFonts w:cs="Times New Roman"/>
        </w:rPr>
        <w:t>2668.00</w:t>
      </w:r>
      <w:r>
        <w:rPr>
          <w:rFonts w:hint="eastAsia" w:cs="Times New Roman"/>
        </w:rPr>
        <w:t>万元，占总建设投资的</w:t>
      </w:r>
      <w:r>
        <w:rPr>
          <w:rFonts w:cs="Times New Roman"/>
        </w:rPr>
        <w:t>5.01%</w:t>
      </w:r>
      <w:r>
        <w:rPr>
          <w:rFonts w:hint="eastAsia" w:cs="Times New Roman"/>
        </w:rPr>
        <w:t>；其它费</w:t>
      </w:r>
      <w:r>
        <w:rPr>
          <w:rFonts w:cs="Times New Roman"/>
        </w:rPr>
        <w:t>15920.73</w:t>
      </w:r>
      <w:r>
        <w:rPr>
          <w:rFonts w:hint="eastAsia" w:cs="Times New Roman"/>
        </w:rPr>
        <w:t>万元，占总建设投资的</w:t>
      </w:r>
      <w:r>
        <w:rPr>
          <w:rFonts w:cs="Times New Roman"/>
        </w:rPr>
        <w:t>29.91%</w:t>
      </w:r>
      <w:r>
        <w:rPr>
          <w:rFonts w:hint="eastAsia" w:cs="Times New Roman"/>
        </w:rPr>
        <w:t>。</w:t>
      </w:r>
    </w:p>
    <w:p>
      <w:pPr>
        <w:ind w:firstLine="560"/>
        <w:rPr>
          <w:rFonts w:hint="eastAsia" w:cs="Times New Roman"/>
        </w:rPr>
      </w:pPr>
      <w:r>
        <w:rPr>
          <w:rFonts w:hint="eastAsia" w:cs="Times New Roman"/>
        </w:rPr>
        <w:t>按建设投资期限分，前期建设资金</w:t>
      </w:r>
      <w:r>
        <w:rPr>
          <w:rFonts w:cs="Times New Roman"/>
        </w:rPr>
        <w:t>29834.1</w:t>
      </w:r>
      <w:r>
        <w:rPr>
          <w:rFonts w:hint="eastAsia" w:cs="Times New Roman"/>
          <w:lang w:val="en-US" w:eastAsia="zh-CN"/>
        </w:rPr>
        <w:t>3</w:t>
      </w:r>
      <w:r>
        <w:rPr>
          <w:rFonts w:hint="eastAsia" w:cs="Times New Roman"/>
        </w:rPr>
        <w:t>万元，占总建设投资的</w:t>
      </w:r>
      <w:r>
        <w:rPr>
          <w:rFonts w:cs="Times New Roman"/>
        </w:rPr>
        <w:t>56.05%</w:t>
      </w:r>
      <w:r>
        <w:rPr>
          <w:rFonts w:hint="eastAsia" w:cs="Times New Roman"/>
        </w:rPr>
        <w:t>；后期建设资金</w:t>
      </w:r>
      <w:r>
        <w:rPr>
          <w:rFonts w:cs="Times New Roman"/>
        </w:rPr>
        <w:t>23392.70</w:t>
      </w:r>
      <w:r>
        <w:rPr>
          <w:rFonts w:hint="eastAsia" w:cs="Times New Roman"/>
        </w:rPr>
        <w:t>万元，占总建设投资的</w:t>
      </w:r>
      <w:r>
        <w:rPr>
          <w:rFonts w:cs="Times New Roman"/>
        </w:rPr>
        <w:t>43.95%</w:t>
      </w:r>
      <w:r>
        <w:rPr>
          <w:rFonts w:hint="eastAsia" w:cs="Times New Roman"/>
        </w:rPr>
        <w:t>。</w:t>
      </w:r>
    </w:p>
    <w:p>
      <w:pPr>
        <w:pStyle w:val="5"/>
        <w:numPr>
          <w:ilvl w:val="1"/>
          <w:numId w:val="85"/>
        </w:numPr>
        <w:spacing w:before="197"/>
        <w:rPr>
          <w:rFonts w:hint="eastAsia"/>
          <w:highlight w:val="none"/>
        </w:rPr>
      </w:pPr>
      <w:bookmarkStart w:id="746" w:name="_Toc406838097"/>
      <w:r>
        <w:rPr>
          <w:rFonts w:hint="eastAsia"/>
          <w:highlight w:val="none"/>
        </w:rPr>
        <w:t>项目融资与资金筹措建议</w:t>
      </w:r>
      <w:bookmarkEnd w:id="746"/>
    </w:p>
    <w:p>
      <w:pPr>
        <w:ind w:firstLine="560"/>
        <w:rPr>
          <w:rFonts w:hint="eastAsia" w:cs="Times New Roman"/>
        </w:rPr>
      </w:pPr>
      <w:r>
        <w:rPr>
          <w:rFonts w:hint="eastAsia" w:cs="Times New Roman"/>
          <w:lang w:eastAsia="zh-CN"/>
        </w:rPr>
        <w:t>仙阳湖国家</w:t>
      </w:r>
      <w:r>
        <w:rPr>
          <w:rFonts w:hint="eastAsia" w:cs="Times New Roman"/>
        </w:rPr>
        <w:t>湿地公园属生态型社会公益性建设项目，湿地公园建设期建设资金从以下6个渠道进行项目融资与资金筹措。</w:t>
      </w:r>
    </w:p>
    <w:p>
      <w:pPr>
        <w:ind w:firstLine="560"/>
        <w:rPr>
          <w:rFonts w:hint="eastAsia" w:cs="Times New Roman"/>
        </w:rPr>
      </w:pPr>
      <w:r>
        <w:rPr>
          <w:rFonts w:hint="eastAsia" w:cs="Times New Roman"/>
          <w:lang w:eastAsia="zh-CN"/>
        </w:rPr>
        <w:t>（</w:t>
      </w:r>
      <w:r>
        <w:rPr>
          <w:rFonts w:hint="eastAsia" w:cs="Times New Roman"/>
          <w:lang w:val="en-US" w:eastAsia="zh-CN"/>
        </w:rPr>
        <w:t>1</w:t>
      </w:r>
      <w:r>
        <w:rPr>
          <w:rFonts w:hint="eastAsia" w:cs="Times New Roman"/>
          <w:lang w:eastAsia="zh-CN"/>
        </w:rPr>
        <w:t>）</w:t>
      </w:r>
      <w:r>
        <w:rPr>
          <w:rFonts w:hint="eastAsia" w:cs="Times New Roman"/>
        </w:rPr>
        <w:t>建设单位（社会企业法人）自筹资金</w:t>
      </w:r>
    </w:p>
    <w:p>
      <w:pPr>
        <w:ind w:firstLine="560"/>
        <w:rPr>
          <w:rFonts w:hint="eastAsia" w:cs="Times New Roman"/>
        </w:rPr>
      </w:pPr>
      <w:r>
        <w:rPr>
          <w:rFonts w:hint="eastAsia" w:cs="Times New Roman"/>
        </w:rPr>
        <w:t>建设单位通过自筹、融资等筹集项目建设资金。</w:t>
      </w:r>
    </w:p>
    <w:p>
      <w:pPr>
        <w:ind w:firstLine="560"/>
        <w:rPr>
          <w:rFonts w:hint="eastAsia" w:cs="Times New Roman"/>
        </w:rPr>
      </w:pPr>
      <w:r>
        <w:rPr>
          <w:rFonts w:hint="eastAsia" w:cs="Times New Roman"/>
          <w:lang w:eastAsia="zh-CN"/>
        </w:rPr>
        <w:t>（</w:t>
      </w:r>
      <w:r>
        <w:rPr>
          <w:rFonts w:hint="eastAsia" w:cs="Times New Roman"/>
          <w:lang w:val="en-US" w:eastAsia="zh-CN"/>
        </w:rPr>
        <w:t>2</w:t>
      </w:r>
      <w:r>
        <w:rPr>
          <w:rFonts w:hint="eastAsia" w:cs="Times New Roman"/>
          <w:lang w:eastAsia="zh-CN"/>
        </w:rPr>
        <w:t>）</w:t>
      </w:r>
      <w:r>
        <w:rPr>
          <w:rFonts w:hint="eastAsia" w:cs="Times New Roman"/>
        </w:rPr>
        <w:t>政府政策补偿</w:t>
      </w:r>
    </w:p>
    <w:p>
      <w:pPr>
        <w:ind w:firstLine="560"/>
        <w:rPr>
          <w:rFonts w:hint="eastAsia" w:cs="Times New Roman"/>
          <w:lang w:eastAsia="zh-CN"/>
        </w:rPr>
      </w:pPr>
      <w:r>
        <w:rPr>
          <w:rFonts w:hint="eastAsia" w:cs="Times New Roman"/>
          <w:lang w:eastAsia="zh-CN"/>
        </w:rPr>
        <w:t xml:space="preserve">仙阳湖国家湿地公园是石门旅游产业中最有生命力的绿色景区。根据常德市人民政府颁布的《常德市促进旅游业发展奖励办法》和石门县人民政府颁布的《石门县促进旅游产业发展奖励办法》，仙阳湖国家湿地公园建设单位（社会企业法人）可享受相关优惠政策。 </w:t>
      </w:r>
    </w:p>
    <w:p>
      <w:pPr>
        <w:ind w:firstLine="560"/>
        <w:rPr>
          <w:rFonts w:hint="eastAsia" w:cs="Times New Roman"/>
        </w:rPr>
      </w:pPr>
      <w:r>
        <w:rPr>
          <w:rFonts w:hint="eastAsia" w:cs="Times New Roman"/>
          <w:lang w:eastAsia="zh-CN"/>
        </w:rPr>
        <w:t>（</w:t>
      </w:r>
      <w:r>
        <w:rPr>
          <w:rFonts w:hint="eastAsia" w:cs="Times New Roman"/>
          <w:lang w:val="en-US" w:eastAsia="zh-CN"/>
        </w:rPr>
        <w:t>3</w:t>
      </w:r>
      <w:r>
        <w:rPr>
          <w:rFonts w:hint="eastAsia" w:cs="Times New Roman"/>
          <w:lang w:eastAsia="zh-CN"/>
        </w:rPr>
        <w:t>）</w:t>
      </w:r>
      <w:r>
        <w:rPr>
          <w:rFonts w:hint="eastAsia" w:cs="Times New Roman"/>
        </w:rPr>
        <w:t>国家财政投入</w:t>
      </w:r>
    </w:p>
    <w:p>
      <w:pPr>
        <w:ind w:firstLine="560"/>
        <w:rPr>
          <w:rFonts w:hint="eastAsia" w:cs="Times New Roman"/>
        </w:rPr>
      </w:pPr>
      <w:r>
        <w:rPr>
          <w:rFonts w:hint="eastAsia" w:cs="Times New Roman"/>
          <w:lang w:eastAsia="zh-CN"/>
        </w:rPr>
        <w:t>仙阳湖国家</w:t>
      </w:r>
      <w:r>
        <w:rPr>
          <w:rFonts w:hint="eastAsia" w:cs="Times New Roman"/>
        </w:rPr>
        <w:t>湿地公园</w:t>
      </w:r>
      <w:r>
        <w:rPr>
          <w:rFonts w:hint="eastAsia" w:cs="Times New Roman"/>
          <w:lang w:eastAsia="zh-CN"/>
        </w:rPr>
        <w:t>已投入建设</w:t>
      </w:r>
      <w:r>
        <w:rPr>
          <w:rFonts w:hint="eastAsia" w:cs="Times New Roman"/>
        </w:rPr>
        <w:t>我国湿地生态恢复与湿地可持续保护的国家级示范工程，对推进我国的淡水湖泊、河流湿地的恢复和保护事业有促进作用</w:t>
      </w:r>
      <w:r>
        <w:rPr>
          <w:rFonts w:hint="eastAsia" w:cs="Times New Roman"/>
          <w:lang w:eastAsia="zh-CN"/>
        </w:rPr>
        <w:t>。</w:t>
      </w:r>
      <w:r>
        <w:rPr>
          <w:rFonts w:hint="eastAsia" w:cs="Times New Roman"/>
        </w:rPr>
        <w:t>根据国家的产业政策和国家重点工程建设项目投资方向，</w:t>
      </w:r>
      <w:r>
        <w:rPr>
          <w:rFonts w:hint="eastAsia" w:cs="Times New Roman"/>
          <w:lang w:eastAsia="zh-CN"/>
        </w:rPr>
        <w:t>仙阳湖国家</w:t>
      </w:r>
      <w:r>
        <w:rPr>
          <w:rFonts w:hint="eastAsia" w:cs="Times New Roman"/>
        </w:rPr>
        <w:t>湿地公园可积极地向国家相关部门争取国家财政投入或列入国家重点建设工程，筹集建设资金。</w:t>
      </w:r>
    </w:p>
    <w:p>
      <w:pPr>
        <w:ind w:firstLine="560"/>
        <w:rPr>
          <w:rFonts w:hint="eastAsia" w:cs="Times New Roman"/>
        </w:rPr>
      </w:pPr>
      <w:r>
        <w:rPr>
          <w:rFonts w:hint="eastAsia" w:cs="Times New Roman"/>
          <w:lang w:eastAsia="zh-CN"/>
        </w:rPr>
        <w:t>（</w:t>
      </w:r>
      <w:r>
        <w:rPr>
          <w:rFonts w:hint="eastAsia" w:cs="Times New Roman"/>
          <w:lang w:val="en-US" w:eastAsia="zh-CN"/>
        </w:rPr>
        <w:t>4</w:t>
      </w:r>
      <w:r>
        <w:rPr>
          <w:rFonts w:hint="eastAsia" w:cs="Times New Roman"/>
          <w:lang w:eastAsia="zh-CN"/>
        </w:rPr>
        <w:t>）</w:t>
      </w:r>
      <w:r>
        <w:rPr>
          <w:rFonts w:hint="eastAsia" w:cs="Times New Roman"/>
        </w:rPr>
        <w:t>社会性投入</w:t>
      </w:r>
    </w:p>
    <w:p>
      <w:pPr>
        <w:ind w:firstLine="560"/>
        <w:rPr>
          <w:rFonts w:hint="eastAsia" w:cs="Times New Roman"/>
        </w:rPr>
      </w:pPr>
      <w:r>
        <w:rPr>
          <w:rFonts w:hint="eastAsia" w:cs="Times New Roman"/>
        </w:rPr>
        <w:t>社会性投入分社会企业、社团与个人投入。由于</w:t>
      </w:r>
      <w:r>
        <w:rPr>
          <w:rFonts w:hint="eastAsia" w:cs="Times New Roman"/>
          <w:lang w:eastAsia="zh-CN"/>
        </w:rPr>
        <w:t>仙阳湖国家</w:t>
      </w:r>
      <w:r>
        <w:rPr>
          <w:rFonts w:hint="eastAsia" w:cs="Times New Roman"/>
        </w:rPr>
        <w:t>湿地公园对</w:t>
      </w:r>
      <w:r>
        <w:rPr>
          <w:rFonts w:hint="eastAsia" w:cs="Times New Roman"/>
          <w:lang w:eastAsia="zh-CN"/>
        </w:rPr>
        <w:t>石门县</w:t>
      </w:r>
      <w:r>
        <w:rPr>
          <w:rFonts w:hint="eastAsia" w:cs="Times New Roman"/>
        </w:rPr>
        <w:t>乃至湖南</w:t>
      </w:r>
      <w:r>
        <w:rPr>
          <w:rFonts w:hint="eastAsia" w:cs="Times New Roman"/>
          <w:lang w:eastAsia="zh-CN"/>
        </w:rPr>
        <w:t>西北</w:t>
      </w:r>
      <w:r>
        <w:rPr>
          <w:rFonts w:hint="eastAsia" w:cs="Times New Roman"/>
        </w:rPr>
        <w:t>部生态环境改善作用巨大，因此，建议在</w:t>
      </w:r>
      <w:r>
        <w:rPr>
          <w:rFonts w:hint="eastAsia" w:cs="Times New Roman"/>
          <w:lang w:eastAsia="zh-CN"/>
        </w:rPr>
        <w:t>常德</w:t>
      </w:r>
      <w:r>
        <w:rPr>
          <w:rFonts w:hint="eastAsia" w:cs="Times New Roman"/>
        </w:rPr>
        <w:t>市范围内发行</w:t>
      </w:r>
      <w:r>
        <w:rPr>
          <w:rFonts w:hint="eastAsia" w:cs="Times New Roman"/>
          <w:lang w:eastAsia="zh-CN"/>
        </w:rPr>
        <w:t>仙阳湖国家</w:t>
      </w:r>
      <w:r>
        <w:rPr>
          <w:rFonts w:hint="eastAsia" w:cs="Times New Roman"/>
        </w:rPr>
        <w:t>湿地公园建设项目生态债券（不计息），由企业认购。</w:t>
      </w:r>
    </w:p>
    <w:p>
      <w:pPr>
        <w:ind w:firstLine="560"/>
        <w:rPr>
          <w:rFonts w:hint="eastAsia" w:cs="Times New Roman"/>
        </w:rPr>
      </w:pPr>
      <w:r>
        <w:rPr>
          <w:rFonts w:hint="eastAsia" w:cs="Times New Roman"/>
        </w:rPr>
        <w:t>另外，积极开展湿地生物（包括林木）的生态管护绿色认购工作，不但以筹集管护资金，同时可以增加市民生态环境意识，生态伦理与生态道德水准，从而提高市民素质。</w:t>
      </w:r>
    </w:p>
    <w:p>
      <w:pPr>
        <w:ind w:firstLine="560"/>
        <w:rPr>
          <w:rFonts w:hint="eastAsia" w:cs="Times New Roman"/>
        </w:rPr>
      </w:pPr>
      <w:r>
        <w:rPr>
          <w:rFonts w:hint="eastAsia" w:cs="Times New Roman"/>
          <w:lang w:eastAsia="zh-CN"/>
        </w:rPr>
        <w:t>（</w:t>
      </w:r>
      <w:r>
        <w:rPr>
          <w:rFonts w:hint="eastAsia" w:cs="Times New Roman"/>
          <w:lang w:val="en-US" w:eastAsia="zh-CN"/>
        </w:rPr>
        <w:t>5</w:t>
      </w:r>
      <w:r>
        <w:rPr>
          <w:rFonts w:hint="eastAsia" w:cs="Times New Roman"/>
          <w:lang w:eastAsia="zh-CN"/>
        </w:rPr>
        <w:t>）</w:t>
      </w:r>
      <w:r>
        <w:rPr>
          <w:rFonts w:hint="eastAsia" w:cs="Times New Roman"/>
        </w:rPr>
        <w:t>国际国内社会捐赠资金</w:t>
      </w:r>
    </w:p>
    <w:p>
      <w:pPr>
        <w:ind w:firstLine="560"/>
        <w:rPr>
          <w:rFonts w:hint="eastAsia" w:cs="Times New Roman"/>
        </w:rPr>
      </w:pPr>
      <w:r>
        <w:rPr>
          <w:rFonts w:hint="eastAsia" w:cs="Times New Roman"/>
          <w:lang w:eastAsia="zh-CN"/>
        </w:rPr>
        <w:t>仙阳湖国家</w:t>
      </w:r>
      <w:r>
        <w:rPr>
          <w:rFonts w:hint="eastAsia" w:cs="Times New Roman"/>
        </w:rPr>
        <w:t>湿地公园是开展湿地国际交流和合作的平台，通过推介和宣传</w:t>
      </w:r>
      <w:r>
        <w:rPr>
          <w:rFonts w:hint="eastAsia" w:cs="Times New Roman"/>
          <w:lang w:eastAsia="zh-CN"/>
        </w:rPr>
        <w:t>仙阳湖国家</w:t>
      </w:r>
      <w:r>
        <w:rPr>
          <w:rFonts w:hint="eastAsia" w:cs="Times New Roman"/>
        </w:rPr>
        <w:t>湿地公园的建设意义，争取得到国际国内相关组织和民间团体的支持，筹集湿地公园建设的部分资金。</w:t>
      </w:r>
    </w:p>
    <w:p>
      <w:pPr>
        <w:ind w:firstLine="560"/>
        <w:rPr>
          <w:rFonts w:hint="eastAsia" w:cs="Times New Roman"/>
        </w:rPr>
      </w:pPr>
      <w:r>
        <w:rPr>
          <w:rFonts w:hint="eastAsia" w:cs="Times New Roman"/>
          <w:lang w:eastAsia="zh-CN"/>
        </w:rPr>
        <w:t>（</w:t>
      </w:r>
      <w:r>
        <w:rPr>
          <w:rFonts w:hint="eastAsia" w:cs="Times New Roman"/>
          <w:lang w:val="en-US" w:eastAsia="zh-CN"/>
        </w:rPr>
        <w:t>6</w:t>
      </w:r>
      <w:r>
        <w:rPr>
          <w:rFonts w:hint="eastAsia" w:cs="Times New Roman"/>
          <w:lang w:eastAsia="zh-CN"/>
        </w:rPr>
        <w:t>）</w:t>
      </w:r>
      <w:r>
        <w:rPr>
          <w:rFonts w:hint="eastAsia" w:cs="Times New Roman"/>
        </w:rPr>
        <w:t>招商引资</w:t>
      </w:r>
    </w:p>
    <w:p>
      <w:pPr>
        <w:ind w:firstLine="560"/>
        <w:rPr>
          <w:rFonts w:hint="eastAsia" w:cs="Times New Roman"/>
        </w:rPr>
      </w:pPr>
      <w:r>
        <w:rPr>
          <w:rFonts w:hint="eastAsia" w:cs="Times New Roman"/>
        </w:rPr>
        <w:t>在保证生态环境的前提下，利用</w:t>
      </w:r>
      <w:r>
        <w:rPr>
          <w:rFonts w:hint="eastAsia" w:cs="Times New Roman"/>
          <w:lang w:eastAsia="zh-CN"/>
        </w:rPr>
        <w:t>仙阳湖</w:t>
      </w:r>
      <w:r>
        <w:rPr>
          <w:rFonts w:hint="eastAsia" w:cs="Times New Roman"/>
        </w:rPr>
        <w:t>的生态优势品牌，筛选一批优质景点，制定一系列优惠政策，进行包装宣传，吸引战略投资者，引进内外资金进行开发建设。通过景</w:t>
      </w:r>
      <w:r>
        <w:rPr>
          <w:rFonts w:hint="eastAsia" w:cs="Times New Roman"/>
          <w:lang w:eastAsia="zh-CN"/>
        </w:rPr>
        <w:t>点</w:t>
      </w:r>
      <w:r>
        <w:rPr>
          <w:rFonts w:hint="eastAsia" w:cs="Times New Roman"/>
        </w:rPr>
        <w:t>开发的连带效应，促使整个</w:t>
      </w:r>
      <w:r>
        <w:rPr>
          <w:rFonts w:hint="eastAsia" w:cs="Times New Roman"/>
          <w:lang w:eastAsia="zh-CN"/>
        </w:rPr>
        <w:t>仙阳湖</w:t>
      </w:r>
      <w:r>
        <w:rPr>
          <w:rFonts w:hint="eastAsia" w:cs="Times New Roman"/>
        </w:rPr>
        <w:t>湿地公园的跨越式开发，从而实现生态效益、经济效益、社会效益的共赢。</w:t>
      </w:r>
    </w:p>
    <w:p>
      <w:pPr>
        <w:pStyle w:val="5"/>
        <w:numPr>
          <w:ilvl w:val="1"/>
          <w:numId w:val="85"/>
        </w:numPr>
        <w:spacing w:before="197"/>
      </w:pPr>
      <w:bookmarkStart w:id="747" w:name="_Toc20184"/>
      <w:bookmarkStart w:id="748" w:name="_Toc117114424"/>
      <w:bookmarkStart w:id="749" w:name="_Toc114084694"/>
      <w:bookmarkStart w:id="750" w:name="_Toc113925652"/>
      <w:bookmarkStart w:id="751" w:name="_Toc113925904"/>
      <w:bookmarkStart w:id="752" w:name="_Toc18742"/>
      <w:r>
        <w:rPr>
          <w:rFonts w:hint="eastAsia"/>
        </w:rPr>
        <w:t>效益评析</w:t>
      </w:r>
      <w:bookmarkEnd w:id="747"/>
      <w:bookmarkEnd w:id="748"/>
      <w:bookmarkEnd w:id="749"/>
      <w:bookmarkEnd w:id="750"/>
      <w:bookmarkEnd w:id="751"/>
      <w:bookmarkEnd w:id="752"/>
    </w:p>
    <w:p>
      <w:pPr>
        <w:pStyle w:val="6"/>
        <w:numPr>
          <w:ilvl w:val="2"/>
          <w:numId w:val="89"/>
        </w:numPr>
      </w:pPr>
      <w:bookmarkStart w:id="753" w:name="_Toc113925905"/>
      <w:bookmarkStart w:id="754" w:name="_Toc113925653"/>
      <w:r>
        <w:rPr>
          <w:rFonts w:hint="eastAsia"/>
        </w:rPr>
        <w:t>生态效益</w:t>
      </w:r>
      <w:bookmarkEnd w:id="753"/>
      <w:bookmarkEnd w:id="754"/>
    </w:p>
    <w:p>
      <w:pPr>
        <w:ind w:firstLine="560"/>
        <w:rPr>
          <w:rFonts w:cs="Times New Roman"/>
        </w:rPr>
      </w:pPr>
      <w:r>
        <w:rPr>
          <w:rFonts w:hint="eastAsia" w:cs="Times New Roman"/>
        </w:rPr>
        <w:t>仙阳湖国家湿地公园作为典型库塘、河流型湿地公园，本身具有巨大的生态系统服务功能，通过建立国家湿地公园，对人为活动进行了严格的管理和控制，在对公园内的湿地和森林生态系统进行保育的基础上，建立流域复合生态系统，保护和新建多样性的湿地生境，能极大丰富湿地公园内的湿地景观类型，为各类湿地生物提供了多样化的栖息空间，将显著提升湿地公园的生态承载力以及综合生态效益。</w:t>
      </w:r>
    </w:p>
    <w:p>
      <w:pPr>
        <w:numPr>
          <w:ilvl w:val="255"/>
          <w:numId w:val="0"/>
        </w:numPr>
        <w:ind w:firstLine="560" w:firstLineChars="200"/>
        <w:rPr>
          <w:rFonts w:cs="Times New Roman"/>
          <w:b/>
          <w:color w:val="000000"/>
        </w:rPr>
      </w:pPr>
      <w:r>
        <w:rPr>
          <w:rFonts w:hint="eastAsia" w:cs="Times New Roman"/>
          <w:color w:val="000000"/>
        </w:rPr>
        <w:t>（</w:t>
      </w:r>
      <w:r>
        <w:rPr>
          <w:rFonts w:cs="Times New Roman"/>
          <w:color w:val="000000"/>
        </w:rPr>
        <w:t>1</w:t>
      </w:r>
      <w:r>
        <w:rPr>
          <w:rFonts w:hint="eastAsia" w:cs="Times New Roman"/>
          <w:color w:val="000000"/>
        </w:rPr>
        <w:t>）打造良好的湿地-森林复合生态系统，有效保障区域生态安全</w:t>
      </w:r>
    </w:p>
    <w:p>
      <w:pPr>
        <w:ind w:firstLine="560"/>
        <w:rPr>
          <w:rFonts w:cs="Times New Roman"/>
        </w:rPr>
      </w:pPr>
      <w:r>
        <w:rPr>
          <w:rFonts w:hint="eastAsia" w:cs="Times New Roman"/>
        </w:rPr>
        <w:t>仙阳湖国家湿地公园的建设，从流域综合管理的角度出发，通过采取一系列的生态措施，保护和构建良好的湿地生态系统，保育周边森林生态系统，打造结构完整、功能协同的湿地—森林复合生态系统，减少进入湿地公园的污染和泥沙，构建湿地公园良好的生态系统结构，提高其生态功能和自我维持功能，提高湿地公园水质和生物多样性，从而保障区域生态安全。</w:t>
      </w:r>
    </w:p>
    <w:p>
      <w:pPr>
        <w:numPr>
          <w:ilvl w:val="255"/>
          <w:numId w:val="0"/>
        </w:numPr>
        <w:ind w:firstLine="560" w:firstLineChars="200"/>
        <w:rPr>
          <w:rFonts w:cs="Times New Roman"/>
        </w:rPr>
      </w:pPr>
      <w:r>
        <w:rPr>
          <w:rFonts w:hint="eastAsia" w:cs="Times New Roman"/>
        </w:rPr>
        <w:t>（</w:t>
      </w:r>
      <w:r>
        <w:rPr>
          <w:rFonts w:cs="Times New Roman"/>
        </w:rPr>
        <w:t>2</w:t>
      </w:r>
      <w:r>
        <w:rPr>
          <w:rFonts w:hint="eastAsia" w:cs="Times New Roman"/>
        </w:rPr>
        <w:t>）有效保障洞庭湖的生态安全</w:t>
      </w:r>
    </w:p>
    <w:p>
      <w:pPr>
        <w:numPr>
          <w:ilvl w:val="255"/>
          <w:numId w:val="0"/>
        </w:numPr>
        <w:ind w:firstLine="560" w:firstLineChars="200"/>
        <w:rPr>
          <w:rFonts w:cs="Times New Roman"/>
        </w:rPr>
      </w:pPr>
      <w:r>
        <w:rPr>
          <w:rFonts w:hint="eastAsia" w:cs="Times New Roman"/>
        </w:rPr>
        <w:t>仙阳湖国家湿地公园是洞庭湖流域的重要组成部分，其所包含的</w:t>
      </w:r>
      <w:r>
        <w:rPr>
          <w:rFonts w:cs="Times New Roman"/>
          <w:szCs w:val="28"/>
        </w:rPr>
        <w:t>澧水</w:t>
      </w:r>
      <w:r>
        <w:rPr>
          <w:rFonts w:hint="eastAsia" w:cs="Times New Roman"/>
        </w:rPr>
        <w:t>是洞庭湖四大水系之一，对洞庭湖的生态安全和生物多样性保护起着至关重要的作用。湿地公园的建设，一方面加强了对仙阳湖和</w:t>
      </w:r>
      <w:r>
        <w:rPr>
          <w:rFonts w:cs="Times New Roman"/>
          <w:szCs w:val="28"/>
        </w:rPr>
        <w:t>澧水</w:t>
      </w:r>
      <w:r>
        <w:rPr>
          <w:rFonts w:hint="eastAsia" w:cs="Times New Roman"/>
        </w:rPr>
        <w:t>水质的保育，保证了仙阳湖和</w:t>
      </w:r>
      <w:r>
        <w:rPr>
          <w:rFonts w:cs="Times New Roman"/>
          <w:szCs w:val="28"/>
        </w:rPr>
        <w:t>澧水</w:t>
      </w:r>
      <w:r>
        <w:rPr>
          <w:rFonts w:hint="eastAsia" w:cs="Times New Roman"/>
        </w:rPr>
        <w:t>汇入洞庭湖的水质安全，通过保护与恢复工程的建设和湿地净化作用，减少汇入洞庭湖的污染物和泥沙；另一方面，仙阳湖湿地的保护示范作用有助于洞庭湖流域其它河流湿地的保护，最终使洞庭湖的水源得到有效保护，有利于保障整个洞庭湖流域的生态安全。</w:t>
      </w:r>
    </w:p>
    <w:p>
      <w:pPr>
        <w:ind w:firstLine="560"/>
        <w:rPr>
          <w:rFonts w:cs="Times New Roman"/>
          <w:b/>
          <w:color w:val="000000"/>
        </w:rPr>
      </w:pPr>
      <w:r>
        <w:rPr>
          <w:rFonts w:hint="eastAsia" w:cs="Times New Roman"/>
          <w:color w:val="000000"/>
        </w:rPr>
        <w:t>（</w:t>
      </w:r>
      <w:r>
        <w:rPr>
          <w:rFonts w:cs="Times New Roman"/>
          <w:color w:val="000000"/>
        </w:rPr>
        <w:t>3</w:t>
      </w:r>
      <w:r>
        <w:rPr>
          <w:rFonts w:hint="eastAsia" w:cs="Times New Roman"/>
          <w:color w:val="000000"/>
        </w:rPr>
        <w:t>）有效保护水禽栖息地，保障候鸟迁徙生态通道安全</w:t>
      </w:r>
    </w:p>
    <w:p>
      <w:pPr>
        <w:ind w:firstLine="560"/>
        <w:rPr>
          <w:rFonts w:cs="Times New Roman"/>
        </w:rPr>
      </w:pPr>
      <w:r>
        <w:rPr>
          <w:rFonts w:hint="eastAsia" w:cs="Times New Roman"/>
        </w:rPr>
        <w:t>仙阳湖国家湿地公园的建设，一方面通过水质保育、水禽栖息地保护项目的实施，保护现有的水禽栖息地安全和提高其质量，另一方面，通过水禽栖息地营造、水生生物多样性恢复、水岸保护与恢复等建设，营建满足不同水禽需求的栖息地，提供充足的水禽食物，创造水禽避难所，从而为更多的水禽提供良好的栖息环境，保障候鸟迁徙生态通道的安全，并为来洞庭湖湿地越冬的水禽提供后备的栖息地。</w:t>
      </w:r>
    </w:p>
    <w:p>
      <w:pPr>
        <w:ind w:firstLine="560" w:firstLineChars="0"/>
        <w:rPr>
          <w:rFonts w:cs="Times New Roman"/>
          <w:b/>
          <w:color w:val="000000"/>
        </w:rPr>
      </w:pPr>
      <w:r>
        <w:rPr>
          <w:rFonts w:hint="eastAsia" w:cs="Times New Roman"/>
          <w:color w:val="000000"/>
        </w:rPr>
        <w:t>（</w:t>
      </w:r>
      <w:r>
        <w:rPr>
          <w:rFonts w:cs="Times New Roman"/>
          <w:color w:val="000000"/>
        </w:rPr>
        <w:t>4</w:t>
      </w:r>
      <w:r>
        <w:rPr>
          <w:rFonts w:hint="eastAsia" w:cs="Times New Roman"/>
          <w:color w:val="000000"/>
        </w:rPr>
        <w:t>）有效保护和恢复区域生物多样性，构建完善的生态网络</w:t>
      </w:r>
    </w:p>
    <w:p>
      <w:pPr>
        <w:ind w:firstLine="560"/>
        <w:rPr>
          <w:rFonts w:cs="Times New Roman"/>
        </w:rPr>
      </w:pPr>
      <w:r>
        <w:rPr>
          <w:rFonts w:hint="eastAsia" w:cs="Times New Roman"/>
        </w:rPr>
        <w:t>仙阳湖国家湿地公园的建设，通过采取一定的生态保护和恢复工程措施，一方面将提高现有生物栖息地的质量，从而保护和恢复生物多样性，另一方面，扩大了生物栖息地的数量和面积，并适当引进区域缺失的乡土物种，进一步丰富区域的生物多样性，构建完善的生态链和生态网络。</w:t>
      </w:r>
    </w:p>
    <w:p>
      <w:pPr>
        <w:ind w:firstLine="560" w:firstLineChars="0"/>
        <w:rPr>
          <w:rFonts w:cs="Times New Roman"/>
          <w:b/>
          <w:color w:val="000000"/>
        </w:rPr>
      </w:pPr>
      <w:r>
        <w:rPr>
          <w:rFonts w:hint="eastAsia" w:cs="Times New Roman"/>
          <w:color w:val="000000"/>
        </w:rPr>
        <w:t>（</w:t>
      </w:r>
      <w:r>
        <w:rPr>
          <w:rFonts w:cs="Times New Roman"/>
          <w:color w:val="000000"/>
        </w:rPr>
        <w:t>5</w:t>
      </w:r>
      <w:r>
        <w:rPr>
          <w:rFonts w:hint="eastAsia" w:cs="Times New Roman"/>
          <w:color w:val="000000"/>
        </w:rPr>
        <w:t>）有效调节局部气候，保障和维护区域生态安全</w:t>
      </w:r>
    </w:p>
    <w:p>
      <w:pPr>
        <w:ind w:firstLine="560"/>
        <w:rPr>
          <w:rFonts w:cs="Times New Roman"/>
          <w:bCs/>
        </w:rPr>
      </w:pPr>
      <w:r>
        <w:rPr>
          <w:rFonts w:hint="eastAsia" w:cs="Times New Roman"/>
        </w:rPr>
        <w:t>仙阳湖国家湿地公园</w:t>
      </w:r>
      <w:r>
        <w:rPr>
          <w:rFonts w:hint="eastAsia" w:cs="Times New Roman"/>
          <w:bCs/>
        </w:rPr>
        <w:t>的建设，将使其生态系统发挥重要的生态功能，对调节气候和维护区域生态安全具有重要意义。主要表现在：①明显的冷湿效应。一方面，湿地土壤积水或经常处于过湿状态，热容量大，消耗太阳能多，地表增温困难；另一方面，湿地系统通过强烈蒸发和库区植物的蒸腾作用，把大量水分送回大气，导致近地层空气湿度增加，从而进一步使该区气温和湿度等气候条件得到改善，温度较周边地区偏低。②涵养水源作用。仙阳湖国家湿地公园所在的</w:t>
      </w:r>
      <w:r>
        <w:rPr>
          <w:rFonts w:cs="Times New Roman"/>
          <w:szCs w:val="28"/>
        </w:rPr>
        <w:t>澧水</w:t>
      </w:r>
      <w:r>
        <w:rPr>
          <w:rFonts w:hint="eastAsia" w:cs="Times New Roman"/>
          <w:bCs/>
        </w:rPr>
        <w:t>流域属于洞庭湖流域，对于保证和维护区域生态安全具有十分重要的意义。③调节气温。湿地通过水平方向的热量与水分交换，使周围地区的气候比其它地方略显湿润。④净化空气。湿地植物固定</w:t>
      </w:r>
      <w:r>
        <w:rPr>
          <w:rFonts w:cs="Times New Roman"/>
          <w:bCs/>
        </w:rPr>
        <w:t>CO</w:t>
      </w:r>
      <w:r>
        <w:rPr>
          <w:rFonts w:cs="Times New Roman"/>
          <w:bCs/>
          <w:vertAlign w:val="subscript"/>
        </w:rPr>
        <w:t>2</w:t>
      </w:r>
      <w:r>
        <w:rPr>
          <w:rFonts w:hint="eastAsia" w:cs="Times New Roman"/>
          <w:bCs/>
        </w:rPr>
        <w:t>释放</w:t>
      </w:r>
      <w:r>
        <w:rPr>
          <w:rFonts w:cs="Times New Roman"/>
          <w:bCs/>
        </w:rPr>
        <w:t>O</w:t>
      </w:r>
      <w:r>
        <w:rPr>
          <w:rFonts w:cs="Times New Roman"/>
          <w:bCs/>
          <w:vertAlign w:val="subscript"/>
        </w:rPr>
        <w:t>2</w:t>
      </w:r>
      <w:r>
        <w:rPr>
          <w:rFonts w:hint="eastAsia" w:cs="Times New Roman"/>
          <w:bCs/>
        </w:rPr>
        <w:t>以及植物的屏障作用，使湿地区域的空气远比其它地方清新，亲临湿地的人都有一种心旷神怡的感觉。</w:t>
      </w:r>
    </w:p>
    <w:p>
      <w:pPr>
        <w:ind w:firstLine="560" w:firstLineChars="0"/>
        <w:rPr>
          <w:rFonts w:cs="Times New Roman"/>
          <w:b/>
          <w:color w:val="000000"/>
        </w:rPr>
      </w:pPr>
      <w:r>
        <w:rPr>
          <w:rFonts w:hint="eastAsia" w:cs="Times New Roman"/>
          <w:color w:val="000000"/>
        </w:rPr>
        <w:t>（</w:t>
      </w:r>
      <w:r>
        <w:rPr>
          <w:rFonts w:cs="Times New Roman"/>
          <w:color w:val="000000"/>
        </w:rPr>
        <w:t>6</w:t>
      </w:r>
      <w:r>
        <w:rPr>
          <w:rFonts w:hint="eastAsia" w:cs="Times New Roman"/>
          <w:color w:val="000000"/>
        </w:rPr>
        <w:t>）有效疏通河道和调节洪水，防灾减灾作用巨大</w:t>
      </w:r>
    </w:p>
    <w:p>
      <w:pPr>
        <w:ind w:firstLine="560"/>
        <w:rPr>
          <w:rFonts w:cs="Times New Roman"/>
          <w:bCs/>
        </w:rPr>
      </w:pPr>
      <w:r>
        <w:rPr>
          <w:rFonts w:hint="eastAsia" w:cs="Times New Roman"/>
        </w:rPr>
        <w:t>仙阳湖国家湿地公园</w:t>
      </w:r>
      <w:r>
        <w:rPr>
          <w:rFonts w:hint="eastAsia" w:cs="Times New Roman"/>
          <w:bCs/>
        </w:rPr>
        <w:t>的建设，一方面将提高森林生态系统涵养水源、均化洪水的能力，能减少和滞后降水进入库区的流量与时间，降低洪水期间的洪峰，减少洪水径流，防止沥涝，从而减轻洞庭湖的防洪压力；另一方面通过河流水岸的建设，改善河流生态系统健康状况，保障周边广大人民群众生命财产安全。</w:t>
      </w:r>
    </w:p>
    <w:p>
      <w:pPr>
        <w:ind w:firstLine="560" w:firstLineChars="0"/>
        <w:rPr>
          <w:rFonts w:cs="Times New Roman"/>
          <w:b/>
          <w:bCs/>
          <w:color w:val="000000"/>
        </w:rPr>
      </w:pPr>
      <w:r>
        <w:rPr>
          <w:rFonts w:hint="eastAsia" w:cs="Times New Roman"/>
          <w:bCs/>
          <w:color w:val="000000"/>
        </w:rPr>
        <w:t>（</w:t>
      </w:r>
      <w:r>
        <w:rPr>
          <w:rFonts w:hint="eastAsia" w:cs="Times New Roman"/>
          <w:bCs/>
        </w:rPr>
        <w:t>7</w:t>
      </w:r>
      <w:r>
        <w:rPr>
          <w:rFonts w:hint="eastAsia" w:cs="Times New Roman"/>
          <w:bCs/>
          <w:color w:val="000000"/>
        </w:rPr>
        <w:t>）有效保持和提高生态系统服务功能</w:t>
      </w:r>
    </w:p>
    <w:p>
      <w:pPr>
        <w:ind w:firstLine="560"/>
        <w:rPr>
          <w:rFonts w:cs="Times New Roman"/>
          <w:bCs/>
        </w:rPr>
      </w:pPr>
      <w:r>
        <w:rPr>
          <w:rFonts w:hint="eastAsia" w:cs="Times New Roman"/>
          <w:bCs/>
        </w:rPr>
        <w:t>湿地公园的建设，</w:t>
      </w:r>
      <w:r>
        <w:rPr>
          <w:rFonts w:cs="Times New Roman"/>
          <w:bCs/>
        </w:rPr>
        <w:t>从两个方面来提高项目区生态系统服务价值。首先，可以优化湿地类型，增加湿地面积</w:t>
      </w:r>
      <w:r>
        <w:rPr>
          <w:rFonts w:hint="eastAsia" w:cs="Times New Roman"/>
          <w:bCs/>
        </w:rPr>
        <w:t>和森林面积</w:t>
      </w:r>
      <w:r>
        <w:rPr>
          <w:rFonts w:cs="Times New Roman"/>
          <w:bCs/>
        </w:rPr>
        <w:t>，直接增加了生态系统服务价值；同时，生态系统质量的提高也增加了生态系统服务价值。</w:t>
      </w:r>
    </w:p>
    <w:p>
      <w:pPr>
        <w:pStyle w:val="6"/>
        <w:numPr>
          <w:ilvl w:val="2"/>
          <w:numId w:val="89"/>
        </w:numPr>
      </w:pPr>
      <w:r>
        <w:rPr>
          <w:rFonts w:hint="eastAsia"/>
        </w:rPr>
        <w:t>社会效益</w:t>
      </w:r>
    </w:p>
    <w:p>
      <w:pPr>
        <w:ind w:firstLine="560"/>
        <w:rPr>
          <w:rFonts w:cs="Times New Roman"/>
        </w:rPr>
      </w:pPr>
      <w:r>
        <w:rPr>
          <w:rFonts w:hint="eastAsia" w:cs="Times New Roman"/>
        </w:rPr>
        <w:t>（1）打造湖南科普教育基地</w:t>
      </w:r>
    </w:p>
    <w:p>
      <w:pPr>
        <w:ind w:firstLine="560"/>
        <w:rPr>
          <w:rFonts w:cs="Times New Roman"/>
        </w:rPr>
      </w:pPr>
      <w:r>
        <w:rPr>
          <w:rFonts w:hint="eastAsia" w:cs="Times New Roman"/>
        </w:rPr>
        <w:t>仙阳湖国家湿地公园以得天独厚的自然地理条件、区位优势、独特的湿地生态系统类型、多样的自然景观等成为湖泊复合生态系统及生物多样性的重要研究基地及科普教育、教学实习的理想场所。开放的仙阳湖国家湿地公园，将成为石门县、常德市乃至湖南大、中、小学生们的特殊“课堂”，公众的“博物馆”。人们可以学到有关湿地生态系统生物多样性、文化多样性等多方面的知识，并通过参与公园组织开展的各种形式的科普活动，增加湿地环保知识和生态环保意识，达到保护湿地资源和生态环境的科普、宣传作用。</w:t>
      </w:r>
    </w:p>
    <w:p>
      <w:pPr>
        <w:ind w:firstLine="560"/>
        <w:rPr>
          <w:rFonts w:cs="Times New Roman"/>
        </w:rPr>
      </w:pPr>
      <w:r>
        <w:rPr>
          <w:rFonts w:hint="eastAsia" w:cs="Times New Roman"/>
        </w:rPr>
        <w:t>（2）提高保护湿地意识</w:t>
      </w:r>
    </w:p>
    <w:p>
      <w:pPr>
        <w:ind w:firstLine="560"/>
        <w:rPr>
          <w:rFonts w:cs="Times New Roman"/>
        </w:rPr>
      </w:pPr>
      <w:r>
        <w:rPr>
          <w:rFonts w:hint="eastAsia" w:cs="Times New Roman"/>
        </w:rPr>
        <w:t>通过开展各种形式的科普宣传和教育，加大了对仙阳湖湿地的保护和宣传力度，增强了社区群众爱护湿地、保护湿地的意识，丰富和提升了湿地生态文化的内涵和层次，使保护环境成为每一个人的自觉行为和光荣职责。</w:t>
      </w:r>
    </w:p>
    <w:p>
      <w:pPr>
        <w:ind w:firstLine="560"/>
        <w:rPr>
          <w:rFonts w:cs="Times New Roman"/>
        </w:rPr>
      </w:pPr>
      <w:r>
        <w:rPr>
          <w:rFonts w:hint="eastAsia" w:cs="Times New Roman"/>
        </w:rPr>
        <w:t>（3）构建社区和谐环境</w:t>
      </w:r>
    </w:p>
    <w:p>
      <w:pPr>
        <w:ind w:firstLine="560"/>
        <w:rPr>
          <w:rFonts w:cs="Times New Roman"/>
        </w:rPr>
      </w:pPr>
      <w:r>
        <w:rPr>
          <w:rFonts w:hint="eastAsia" w:cs="Times New Roman"/>
        </w:rPr>
        <w:t>仙阳湖国家湿地公园的建设，通过开展社区共建共管工程，一方面，改善了社区农村的生产条件，增加了附近社区群众的经济收入，提高了社区群众的生活水平和生活质量；另一方面，提高了社区群众的环境保护觉悟和意识，使社区群众自发地进行环境保护，实现人与自然和谐共处，从而构建和谐的生态环境。</w:t>
      </w:r>
    </w:p>
    <w:p>
      <w:pPr>
        <w:pStyle w:val="6"/>
        <w:numPr>
          <w:ilvl w:val="2"/>
          <w:numId w:val="89"/>
        </w:numPr>
      </w:pPr>
      <w:r>
        <w:rPr>
          <w:rFonts w:hint="eastAsia"/>
        </w:rPr>
        <w:t>经济效益</w:t>
      </w:r>
    </w:p>
    <w:p>
      <w:pPr>
        <w:ind w:firstLine="560"/>
        <w:rPr>
          <w:rFonts w:cs="Times New Roman"/>
        </w:rPr>
      </w:pPr>
      <w:r>
        <w:rPr>
          <w:rFonts w:hint="eastAsia" w:cs="Times New Roman"/>
        </w:rPr>
        <w:t>仙阳湖国家湿地公园</w:t>
      </w:r>
      <w:r>
        <w:rPr>
          <w:rFonts w:cs="Times New Roman"/>
        </w:rPr>
        <w:t>建设是生态建设基础性工程，项目的实施不以赢利为目的，其经济效益主要通过社会效益和生态效益体现出来。</w:t>
      </w:r>
    </w:p>
    <w:p>
      <w:pPr>
        <w:ind w:firstLine="560"/>
        <w:rPr>
          <w:rFonts w:cs="Times New Roman"/>
        </w:rPr>
      </w:pPr>
      <w:r>
        <w:rPr>
          <w:rFonts w:cs="Times New Roman"/>
        </w:rPr>
        <w:t>首先，</w:t>
      </w:r>
      <w:r>
        <w:rPr>
          <w:rFonts w:hint="eastAsia" w:cs="Times New Roman"/>
        </w:rPr>
        <w:t>通过项目的有效实施，引导项目区湿地保护、利用走上合理、协调的轨道，实现资源开发与环境保护一体化。在保护湿地独特生态环境的前提下，合理利用湿地的自然资源和文化资源等，发展生态旅游等特色产业，将对当地群众的脱贫致富，提高居民的生活水平，以及地方经济的发展起到促进作用。其次，原始的湿地自然景观和人文景观，是一处极具旅游吸引力的观光、度假、游览之地。项目实施后，通过开展生态旅游，发展第三产业，可以带动地方经济发展。为当地居民带来更多的就业机会，增加收入来源。再次，</w:t>
      </w:r>
      <w:r>
        <w:rPr>
          <w:rFonts w:cs="Times New Roman"/>
        </w:rPr>
        <w:t>湿地生物多样性遗传资源是各国争夺的焦点，而</w:t>
      </w:r>
      <w:r>
        <w:rPr>
          <w:rFonts w:hint="eastAsia" w:cs="Times New Roman"/>
        </w:rPr>
        <w:t>湿地公园的建设</w:t>
      </w:r>
      <w:r>
        <w:rPr>
          <w:rFonts w:cs="Times New Roman"/>
        </w:rPr>
        <w:t>，丰富了湿地生物多样性，有效保护了野生动植物资源及栖息地环境，使野生动植物尤其是珍稀濒危野生动植物种群得到恢复和发展。</w:t>
      </w:r>
      <w:r>
        <w:rPr>
          <w:rFonts w:hint="eastAsia" w:cs="Times New Roman"/>
        </w:rPr>
        <w:t>最后，在蓄洪防旱、调节气候、控制土壤侵蚀、降解环境污染等带来的间接经济效益是巨大的。</w:t>
      </w:r>
    </w:p>
    <w:p>
      <w:pPr>
        <w:ind w:firstLine="560"/>
        <w:rPr>
          <w:rFonts w:cs="Times New Roman"/>
        </w:rPr>
      </w:pPr>
      <w:r>
        <w:rPr>
          <w:rFonts w:hint="eastAsia" w:cs="Times New Roman"/>
        </w:rPr>
        <w:t>总之，湖南石门仙阳湖国家湿地公园的建设具有显著的生态和社会效益，良好的经济效益。</w:t>
      </w:r>
    </w:p>
    <w:p>
      <w:pPr>
        <w:pStyle w:val="4"/>
        <w:numPr>
          <w:ilvl w:val="0"/>
          <w:numId w:val="89"/>
        </w:numPr>
        <w:spacing w:after="395"/>
        <w:ind w:left="0" w:firstLine="0"/>
      </w:pPr>
      <w:bookmarkStart w:id="755" w:name="_Toc5915"/>
      <w:bookmarkStart w:id="756" w:name="_Toc9360"/>
      <w:bookmarkStart w:id="757" w:name="_Toc113925654"/>
      <w:bookmarkStart w:id="758" w:name="_Toc117114425"/>
      <w:bookmarkStart w:id="759" w:name="_Toc114084695"/>
      <w:bookmarkStart w:id="760" w:name="_Toc113925906"/>
      <w:r>
        <w:rPr>
          <w:rFonts w:hint="eastAsia"/>
        </w:rPr>
        <w:t>环境影响评价</w:t>
      </w:r>
      <w:bookmarkEnd w:id="755"/>
      <w:bookmarkEnd w:id="756"/>
      <w:bookmarkEnd w:id="757"/>
      <w:bookmarkEnd w:id="758"/>
      <w:bookmarkEnd w:id="759"/>
      <w:bookmarkEnd w:id="760"/>
    </w:p>
    <w:p>
      <w:pPr>
        <w:pStyle w:val="5"/>
        <w:spacing w:before="197"/>
        <w:rPr>
          <w:rFonts w:ascii="仿宋" w:hAnsi="仿宋" w:cs="仿宋"/>
        </w:rPr>
      </w:pPr>
      <w:r>
        <w:rPr>
          <w:rFonts w:hint="eastAsia"/>
        </w:rPr>
        <w:t>环境影响评价的目的</w:t>
      </w:r>
    </w:p>
    <w:p>
      <w:pPr>
        <w:ind w:firstLine="560"/>
        <w:rPr>
          <w:rFonts w:ascii="仿宋" w:hAnsi="仿宋" w:cs="仿宋"/>
        </w:rPr>
      </w:pPr>
      <w:r>
        <w:rPr>
          <w:rFonts w:hint="eastAsia" w:ascii="仿宋" w:hAnsi="仿宋" w:cs="仿宋"/>
        </w:rPr>
        <w:t>从环境保护和可持续发展角度对湿地公园建设项目影响的范围和程度进行论证，为该项目的建设和环境管理提供科学依据。根据湿地公园生态环境现状、项目建设对周边区域生态环境可能存在的影响，评价湿地公园在建设过程中的生态环境质量和旅游影响程度，并结合区域生态环境特征，提出合理可行的生态环境保护及减缓措施，最大限度地减少国家湿地公园建设对生态环境的不良影响，确保湿地公园生态系统及生物多样性的有效保护和资源可持续开发利用。</w:t>
      </w:r>
    </w:p>
    <w:p>
      <w:pPr>
        <w:pStyle w:val="5"/>
        <w:spacing w:before="197"/>
      </w:pPr>
      <w:r>
        <w:rPr>
          <w:rFonts w:hint="eastAsia"/>
        </w:rPr>
        <w:t>环境影响评价的依据</w:t>
      </w:r>
    </w:p>
    <w:p>
      <w:pPr>
        <w:ind w:firstLine="560"/>
      </w:pPr>
      <w:r>
        <w:rPr>
          <w:rFonts w:hint="eastAsia"/>
        </w:rPr>
        <w:t>（1）法律法规</w:t>
      </w:r>
    </w:p>
    <w:p>
      <w:pPr>
        <w:ind w:firstLine="560"/>
      </w:pPr>
      <w:r>
        <w:rPr>
          <w:rFonts w:hint="eastAsia"/>
        </w:rPr>
        <w:t>①《中华人民共和国环境保护法》（2014年）；</w:t>
      </w:r>
    </w:p>
    <w:p>
      <w:pPr>
        <w:ind w:firstLine="560"/>
      </w:pPr>
      <w:r>
        <w:rPr>
          <w:rFonts w:hint="eastAsia"/>
        </w:rPr>
        <w:t>②《中华人民共和国大气污染防治法》（201</w:t>
      </w:r>
      <w:r>
        <w:t>8</w:t>
      </w:r>
      <w:r>
        <w:rPr>
          <w:rFonts w:hint="eastAsia"/>
        </w:rPr>
        <w:t xml:space="preserve">年）； </w:t>
      </w:r>
    </w:p>
    <w:p>
      <w:pPr>
        <w:ind w:firstLine="560"/>
      </w:pPr>
      <w:r>
        <w:rPr>
          <w:rFonts w:hint="eastAsia"/>
        </w:rPr>
        <w:t>③《中华人民共和国水污染防治法》（20</w:t>
      </w:r>
      <w:r>
        <w:t>17</w:t>
      </w:r>
      <w:r>
        <w:rPr>
          <w:rFonts w:hint="eastAsia"/>
        </w:rPr>
        <w:t>年）；</w:t>
      </w:r>
    </w:p>
    <w:p>
      <w:pPr>
        <w:ind w:firstLine="560"/>
      </w:pPr>
      <w:r>
        <w:rPr>
          <w:rFonts w:hint="eastAsia"/>
        </w:rPr>
        <w:t>④《中华人民共和国环境噪声污染防治法》（</w:t>
      </w:r>
      <w:r>
        <w:t>2018</w:t>
      </w:r>
      <w:r>
        <w:rPr>
          <w:rFonts w:hint="eastAsia"/>
        </w:rPr>
        <w:t>年）；</w:t>
      </w:r>
    </w:p>
    <w:p>
      <w:pPr>
        <w:pStyle w:val="16"/>
        <w:spacing w:after="0"/>
        <w:ind w:firstLine="560"/>
      </w:pPr>
      <w:r>
        <w:rPr>
          <w:rFonts w:hint="eastAsia"/>
        </w:rPr>
        <w:t>⑤《中华人民共和国环境影响评价法》（20</w:t>
      </w:r>
      <w:r>
        <w:t>18</w:t>
      </w:r>
      <w:r>
        <w:rPr>
          <w:rFonts w:hint="eastAsia"/>
        </w:rPr>
        <w:t xml:space="preserve">年）； </w:t>
      </w:r>
    </w:p>
    <w:p>
      <w:pPr>
        <w:pStyle w:val="16"/>
        <w:spacing w:after="0"/>
        <w:ind w:firstLine="560"/>
      </w:pPr>
      <w:r>
        <w:rPr>
          <w:rFonts w:hint="eastAsia"/>
        </w:rPr>
        <w:t xml:space="preserve">⑥《中华人民共和国水土保持法》（2010年）。 </w:t>
      </w:r>
    </w:p>
    <w:p>
      <w:pPr>
        <w:pStyle w:val="16"/>
        <w:spacing w:after="0"/>
        <w:ind w:firstLine="560"/>
      </w:pPr>
      <w:r>
        <w:rPr>
          <w:rFonts w:hint="eastAsia"/>
        </w:rPr>
        <w:t>（2）相关条例、办法</w:t>
      </w:r>
    </w:p>
    <w:p>
      <w:pPr>
        <w:pStyle w:val="16"/>
        <w:spacing w:after="0"/>
        <w:ind w:firstLine="560"/>
      </w:pPr>
      <w:r>
        <w:rPr>
          <w:rFonts w:hint="eastAsia"/>
        </w:rPr>
        <w:t xml:space="preserve">①《关于加强生态保护工作的意见》（环发〔1997〕785号）； </w:t>
      </w:r>
    </w:p>
    <w:p>
      <w:pPr>
        <w:pStyle w:val="16"/>
        <w:spacing w:after="0"/>
        <w:ind w:firstLine="560"/>
      </w:pPr>
      <w:r>
        <w:rPr>
          <w:rFonts w:hint="eastAsia"/>
        </w:rPr>
        <w:t xml:space="preserve">②《关于加强环境影响评价管理防范环境风险的通知》（环发〔2005〕152号）； </w:t>
      </w:r>
    </w:p>
    <w:p>
      <w:pPr>
        <w:pStyle w:val="16"/>
        <w:ind w:firstLine="560"/>
      </w:pPr>
      <w:r>
        <w:rPr>
          <w:rFonts w:hint="eastAsia"/>
        </w:rPr>
        <w:t xml:space="preserve">③《湖南省环境保护条例》（2002年）； </w:t>
      </w:r>
    </w:p>
    <w:p>
      <w:pPr>
        <w:pStyle w:val="16"/>
        <w:ind w:firstLine="560"/>
      </w:pPr>
      <w:r>
        <w:rPr>
          <w:rFonts w:hint="eastAsia"/>
        </w:rPr>
        <w:t>④《湖南省生态建设与环境保护规划》（湘政发〔2002〕18号）。</w:t>
      </w:r>
    </w:p>
    <w:p>
      <w:pPr>
        <w:pStyle w:val="5"/>
        <w:numPr>
          <w:ilvl w:val="1"/>
          <w:numId w:val="89"/>
        </w:numPr>
        <w:spacing w:before="197"/>
      </w:pPr>
      <w:bookmarkStart w:id="761" w:name="_Toc32379"/>
      <w:bookmarkStart w:id="762" w:name="_Toc113925908"/>
      <w:bookmarkStart w:id="763" w:name="_Toc113925656"/>
      <w:bookmarkStart w:id="764" w:name="_Toc114084697"/>
      <w:bookmarkStart w:id="765" w:name="_Toc2920"/>
      <w:bookmarkStart w:id="766" w:name="_Toc117114426"/>
      <w:r>
        <w:rPr>
          <w:rFonts w:hint="eastAsia"/>
        </w:rPr>
        <w:t>对自然环境的影响分析</w:t>
      </w:r>
      <w:bookmarkEnd w:id="761"/>
      <w:bookmarkEnd w:id="762"/>
      <w:bookmarkEnd w:id="763"/>
      <w:bookmarkEnd w:id="764"/>
      <w:bookmarkEnd w:id="765"/>
      <w:bookmarkEnd w:id="766"/>
    </w:p>
    <w:p>
      <w:pPr>
        <w:pStyle w:val="6"/>
        <w:numPr>
          <w:ilvl w:val="2"/>
          <w:numId w:val="89"/>
        </w:numPr>
      </w:pPr>
      <w:bookmarkStart w:id="767" w:name="_Toc113925909"/>
      <w:bookmarkStart w:id="768" w:name="_Toc113925657"/>
      <w:r>
        <w:rPr>
          <w:rFonts w:hint="eastAsia"/>
        </w:rPr>
        <w:t>湿地资源数量影响</w:t>
      </w:r>
      <w:bookmarkEnd w:id="767"/>
      <w:bookmarkEnd w:id="768"/>
    </w:p>
    <w:p>
      <w:pPr>
        <w:ind w:firstLine="560"/>
        <w:rPr>
          <w:rFonts w:ascii="仿宋" w:hAnsi="仿宋" w:cs="仿宋"/>
        </w:rPr>
      </w:pPr>
      <w:r>
        <w:rPr>
          <w:rFonts w:hint="eastAsia" w:ascii="仿宋" w:hAnsi="仿宋" w:cs="仿宋"/>
        </w:rPr>
        <w:t>湿地公园的建设必定会给公园内的生态环境带来一定影响。公园建设中的宣教中心、游客服务中心、道路改建与扩建、输电线路等工程建筑用地均为永久性占地，必然会造成土地利用方式的改变，但这些基础设施土建工程仅以点状、线状形式存在，不会占用湿地公园内湿地资源，对湿地公园湿地资源数量和生态环境的影响是</w:t>
      </w:r>
      <w:r>
        <w:rPr>
          <w:rFonts w:hint="eastAsia" w:ascii="仿宋" w:hAnsi="仿宋" w:cs="仿宋"/>
          <w:lang w:eastAsia="zh-CN"/>
        </w:rPr>
        <w:t>轻微可控</w:t>
      </w:r>
      <w:r>
        <w:rPr>
          <w:rFonts w:hint="eastAsia" w:ascii="仿宋" w:hAnsi="仿宋" w:cs="仿宋"/>
        </w:rPr>
        <w:t xml:space="preserve">的。 </w:t>
      </w:r>
    </w:p>
    <w:p>
      <w:pPr>
        <w:pStyle w:val="6"/>
        <w:numPr>
          <w:ilvl w:val="2"/>
          <w:numId w:val="89"/>
        </w:numPr>
      </w:pPr>
      <w:bookmarkStart w:id="769" w:name="_Toc113925658"/>
      <w:bookmarkStart w:id="770" w:name="_Toc113925910"/>
      <w:r>
        <w:rPr>
          <w:rFonts w:hint="eastAsia"/>
        </w:rPr>
        <w:t>大气环境影响</w:t>
      </w:r>
      <w:bookmarkEnd w:id="769"/>
      <w:bookmarkEnd w:id="770"/>
    </w:p>
    <w:p>
      <w:pPr>
        <w:ind w:firstLine="560"/>
        <w:rPr>
          <w:rFonts w:cs="Times New Roman"/>
        </w:rPr>
      </w:pPr>
      <w:r>
        <w:rPr>
          <w:rFonts w:hint="eastAsia" w:cs="Times New Roman"/>
        </w:rPr>
        <w:t>施工阶段产生的大气污染分为粉尘污染和废气污染，粉尘污染主要包括混凝土拌和、砂石加工、道路扬尘、钻孔、水泥运输、拌浆、弃渣堆放等引起的污染，其主要污染物为TSP；废气污染，主要包括汽车尾气、机械设备等产生的气体污染，其主要污染物为NO</w:t>
      </w:r>
      <w:r>
        <w:rPr>
          <w:rFonts w:cs="Times New Roman"/>
          <w:vertAlign w:val="subscript"/>
        </w:rPr>
        <w:t>2</w:t>
      </w:r>
      <w:r>
        <w:rPr>
          <w:rFonts w:hint="eastAsia" w:cs="Times New Roman"/>
        </w:rPr>
        <w:t>、SO</w:t>
      </w:r>
      <w:r>
        <w:rPr>
          <w:rFonts w:cs="Times New Roman"/>
          <w:vertAlign w:val="subscript"/>
        </w:rPr>
        <w:t>2</w:t>
      </w:r>
      <w:r>
        <w:rPr>
          <w:rFonts w:hint="eastAsia" w:cs="Times New Roman"/>
        </w:rPr>
        <w:t>、CO及烃类等。</w:t>
      </w:r>
    </w:p>
    <w:p>
      <w:pPr>
        <w:ind w:firstLine="560"/>
        <w:rPr>
          <w:rFonts w:cs="Times New Roman"/>
        </w:rPr>
      </w:pPr>
      <w:r>
        <w:rPr>
          <w:rFonts w:hint="eastAsia" w:cs="Times New Roman"/>
        </w:rPr>
        <w:t>（1）粉尘影响分析</w:t>
      </w:r>
    </w:p>
    <w:p>
      <w:pPr>
        <w:ind w:firstLine="560"/>
        <w:rPr>
          <w:rFonts w:cs="Times New Roman"/>
        </w:rPr>
      </w:pPr>
      <w:r>
        <w:rPr>
          <w:rFonts w:hint="eastAsia" w:cs="Times New Roman"/>
        </w:rPr>
        <w:t>一般情况下，施工场地、运输道路沿线在自然风力的作用下产生扬尘的影响范围一般为100m左右，施工区粉尘主要是对施工人员产生不利影响，施工道路两旁的居民则会受到运输扬尘的影响。</w:t>
      </w:r>
    </w:p>
    <w:p>
      <w:pPr>
        <w:ind w:firstLine="560"/>
        <w:rPr>
          <w:rFonts w:cs="Times New Roman"/>
        </w:rPr>
      </w:pPr>
      <w:r>
        <w:rPr>
          <w:rFonts w:hint="eastAsia" w:cs="Times New Roman"/>
        </w:rPr>
        <w:t>（2）废气影响分析</w:t>
      </w:r>
    </w:p>
    <w:p>
      <w:pPr>
        <w:ind w:firstLine="560"/>
        <w:rPr>
          <w:rFonts w:cs="Times New Roman"/>
        </w:rPr>
      </w:pPr>
      <w:r>
        <w:rPr>
          <w:rFonts w:hint="eastAsia" w:cs="Times New Roman"/>
        </w:rPr>
        <w:t>汽车及机械设备废气排放口低，属低矮点源无序排放，这些施工车辆及机械设备尾气排放较为分散，有害废气排放量很小，当地地形和气象条件比较有利于废气的扩散，尾气排放后易于扩散稀释，施工区周围是乡镇地区，有一定的大气环境容量，因此尾气排放对周围大气环境影响较小。</w:t>
      </w:r>
    </w:p>
    <w:p>
      <w:pPr>
        <w:pStyle w:val="6"/>
        <w:numPr>
          <w:ilvl w:val="2"/>
          <w:numId w:val="89"/>
        </w:numPr>
      </w:pPr>
      <w:bookmarkStart w:id="771" w:name="_Toc113925911"/>
      <w:bookmarkStart w:id="772" w:name="_Toc113925659"/>
      <w:r>
        <w:rPr>
          <w:rFonts w:hint="eastAsia"/>
        </w:rPr>
        <w:t>声环境影响</w:t>
      </w:r>
      <w:bookmarkEnd w:id="771"/>
      <w:bookmarkEnd w:id="772"/>
    </w:p>
    <w:p>
      <w:pPr>
        <w:ind w:firstLine="560"/>
        <w:rPr>
          <w:rFonts w:cs="Times New Roman"/>
        </w:rPr>
      </w:pPr>
      <w:r>
        <w:rPr>
          <w:rFonts w:hint="eastAsia" w:cs="Times New Roman"/>
        </w:rPr>
        <w:t>施工噪声主要分两类：机械噪声和交通噪声。</w:t>
      </w:r>
    </w:p>
    <w:p>
      <w:pPr>
        <w:ind w:firstLine="560"/>
        <w:rPr>
          <w:rFonts w:cs="Times New Roman"/>
        </w:rPr>
      </w:pPr>
      <w:r>
        <w:rPr>
          <w:rFonts w:hint="eastAsia" w:cs="Times New Roman"/>
        </w:rPr>
        <w:t>机械噪声：施工区有各种大型机械设备，大部分施工机械在使用时噪声值均在85～95dB（A）之间，最大时可达105dB（A），对现场施工人员影响较大。因此在工程施工作业中，应尽量合理安排施工机械施工，采取相应的防护措施进行隔声、吸声，并对施工人员进行防噪声劳动保护措施。</w:t>
      </w:r>
    </w:p>
    <w:p>
      <w:pPr>
        <w:ind w:firstLine="560"/>
        <w:rPr>
          <w:rFonts w:cs="Times New Roman"/>
        </w:rPr>
      </w:pPr>
      <w:r>
        <w:rPr>
          <w:rFonts w:hint="eastAsia" w:cs="Times New Roman"/>
        </w:rPr>
        <w:t>交通噪声：繁忙的土石料运输、物资运输、施工人员运输将导致汽车行驶加油、变速、刹车频繁，从而给施工人员和施工运输道路两旁少部分居民带来一定的噪声污染。</w:t>
      </w:r>
    </w:p>
    <w:p>
      <w:pPr>
        <w:pStyle w:val="6"/>
        <w:numPr>
          <w:ilvl w:val="2"/>
          <w:numId w:val="89"/>
        </w:numPr>
      </w:pPr>
      <w:bookmarkStart w:id="773" w:name="_Toc113925912"/>
      <w:bookmarkStart w:id="774" w:name="_Toc113925660"/>
      <w:r>
        <w:rPr>
          <w:rFonts w:hint="eastAsia"/>
        </w:rPr>
        <w:t>水环境影响</w:t>
      </w:r>
      <w:bookmarkEnd w:id="773"/>
      <w:bookmarkEnd w:id="774"/>
    </w:p>
    <w:p>
      <w:pPr>
        <w:ind w:firstLine="560"/>
        <w:rPr>
          <w:rFonts w:cs="Times New Roman"/>
        </w:rPr>
      </w:pPr>
      <w:r>
        <w:rPr>
          <w:rFonts w:hint="eastAsia" w:cs="Times New Roman"/>
        </w:rPr>
        <w:t>工程实施阶段的挖土、材料冲洗以及使用大量的挖掘机械、运输机械和其他辅助机械，在作业和维护时有可能发生油料外溢、渗漏，通过雨水冲刷等途径流入受纳水体，使受纳水体</w:t>
      </w:r>
      <w:r>
        <w:rPr>
          <w:rFonts w:cs="Times New Roman"/>
        </w:rPr>
        <w:t>SS</w:t>
      </w:r>
      <w:r>
        <w:rPr>
          <w:rFonts w:hint="eastAsia" w:cs="Times New Roman"/>
        </w:rPr>
        <w:t>、</w:t>
      </w:r>
      <w:r>
        <w:rPr>
          <w:rFonts w:cs="Times New Roman"/>
        </w:rPr>
        <w:t>COD</w:t>
      </w:r>
      <w:r>
        <w:rPr>
          <w:rFonts w:hint="eastAsia" w:cs="Times New Roman"/>
        </w:rPr>
        <w:t>、油类含量增高，</w:t>
      </w:r>
      <w:r>
        <w:rPr>
          <w:rFonts w:cs="Times New Roman"/>
        </w:rPr>
        <w:t>DO</w:t>
      </w:r>
      <w:r>
        <w:rPr>
          <w:rFonts w:hint="eastAsia" w:cs="Times New Roman"/>
        </w:rPr>
        <w:t>下降。同时，管理人员和施工人员日排生活污水，也会增加受纳水体的有机物含量。</w:t>
      </w:r>
    </w:p>
    <w:p>
      <w:pPr>
        <w:pStyle w:val="6"/>
        <w:numPr>
          <w:ilvl w:val="2"/>
          <w:numId w:val="89"/>
        </w:numPr>
      </w:pPr>
      <w:bookmarkStart w:id="775" w:name="_Toc113925913"/>
      <w:bookmarkStart w:id="776" w:name="_Toc113925661"/>
      <w:r>
        <w:rPr>
          <w:rFonts w:hint="eastAsia"/>
        </w:rPr>
        <w:t>固体废物环境影响</w:t>
      </w:r>
      <w:bookmarkEnd w:id="775"/>
      <w:bookmarkEnd w:id="776"/>
    </w:p>
    <w:p>
      <w:pPr>
        <w:ind w:firstLine="560"/>
        <w:rPr>
          <w:rFonts w:cs="Times New Roman"/>
        </w:rPr>
      </w:pPr>
      <w:r>
        <w:rPr>
          <w:rFonts w:hint="eastAsia" w:cs="Times New Roman"/>
        </w:rPr>
        <w:t>施工期固体废弃物主要包括建筑垃圾和生活垃圾，建筑垃圾主要是碎砖块、废石料、废钢筋、水泥块及混凝土残渣等，这些废弃物多为无机物，其中大部分对水、环境空气质量的直接影响不大，但它具有占地和造成二次污染的特点，若不及时清运将对周边环境、空气质量等产生影响。</w:t>
      </w:r>
    </w:p>
    <w:p>
      <w:pPr>
        <w:ind w:firstLine="560"/>
        <w:rPr>
          <w:rFonts w:cs="Times New Roman"/>
        </w:rPr>
      </w:pPr>
      <w:r>
        <w:rPr>
          <w:rFonts w:hint="eastAsia" w:cs="Times New Roman"/>
        </w:rPr>
        <w:t>本工程高峰期施工人数较多，施工人员生活垃圾如随意堆放，不仅影响环境，污染空气，在一定气候条件下，容易使蚊蝇孳生和鼠类大量繁殖。同时，生活垃圾中的各种污染物和病菌受雨水冲刷的影响，以地表径流和地下径流的形式流入湖中，污染周边水域水质。</w:t>
      </w:r>
    </w:p>
    <w:p>
      <w:pPr>
        <w:pStyle w:val="6"/>
        <w:numPr>
          <w:ilvl w:val="2"/>
          <w:numId w:val="89"/>
        </w:numPr>
      </w:pPr>
      <w:bookmarkStart w:id="777" w:name="_Toc113925662"/>
      <w:bookmarkStart w:id="778" w:name="_Toc113925914"/>
      <w:r>
        <w:rPr>
          <w:rFonts w:hint="eastAsia"/>
        </w:rPr>
        <w:t>生物多样性影响</w:t>
      </w:r>
      <w:bookmarkEnd w:id="777"/>
      <w:bookmarkEnd w:id="778"/>
      <w:r>
        <w:t xml:space="preserve"> </w:t>
      </w:r>
    </w:p>
    <w:p>
      <w:pPr>
        <w:ind w:firstLine="560"/>
        <w:rPr>
          <w:rFonts w:cs="Times New Roman"/>
        </w:rPr>
      </w:pPr>
      <w:r>
        <w:rPr>
          <w:rFonts w:hint="eastAsia" w:cs="Times New Roman"/>
        </w:rPr>
        <w:t>湿地公园的建设，通过对湿地的科学保护、修复与促进，一方面通过消除外界干扰和胁迫，生态系统将自我恢复，其结构和功能将得到恢复，动植物良好的栖息地也将重现，恢复了生物的多样性；另一方面通过一系列的保护与恢复工程的实施将逐步恢复湿地的生态功能，完善湿地生态系统，为动植物尤其是水禽鸟类提供良好的繁衍、栖息场所，从而提高了生物多样性。同时，湿地公园工程建设不可避免要占用少量的土地，造成工程地类增加，某些地段不能原地复绿，动植物生存空间缩小，部分野生动物迁徙取食场所破坏。</w:t>
      </w:r>
    </w:p>
    <w:p>
      <w:pPr>
        <w:pStyle w:val="6"/>
      </w:pPr>
      <w:r>
        <w:rPr>
          <w:rFonts w:hint="eastAsia"/>
        </w:rPr>
        <w:t xml:space="preserve">对生物安全的影响 </w:t>
      </w:r>
    </w:p>
    <w:p>
      <w:pPr>
        <w:pStyle w:val="16"/>
        <w:keepNext w:val="0"/>
        <w:keepLines w:val="0"/>
        <w:pageBreakBefore w:val="0"/>
        <w:widowControl w:val="0"/>
        <w:kinsoku/>
        <w:wordWrap/>
        <w:overflowPunct/>
        <w:topLinePunct w:val="0"/>
        <w:autoSpaceDE/>
        <w:autoSpaceDN/>
        <w:bidi w:val="0"/>
        <w:adjustRightInd/>
        <w:snapToGrid/>
        <w:spacing w:after="0"/>
        <w:ind w:firstLine="560"/>
        <w:textAlignment w:val="auto"/>
      </w:pPr>
      <w:r>
        <w:rPr>
          <w:rFonts w:hint="eastAsia"/>
        </w:rPr>
        <w:t xml:space="preserve">湿地公园的建设原则上都采用乡土生物，不主张引进外来物种。但是，为了丰富生态旅游的需要，确实需要引进部分外来生物，可能会带来一定的危险。为了使外来物种不会对当地物种的正常发展造成威胁，在引种时必须注意以下事项： </w:t>
      </w:r>
    </w:p>
    <w:p>
      <w:pPr>
        <w:pStyle w:val="16"/>
        <w:keepNext w:val="0"/>
        <w:keepLines w:val="0"/>
        <w:pageBreakBefore w:val="0"/>
        <w:widowControl w:val="0"/>
        <w:kinsoku/>
        <w:wordWrap/>
        <w:overflowPunct/>
        <w:topLinePunct w:val="0"/>
        <w:autoSpaceDE/>
        <w:autoSpaceDN/>
        <w:bidi w:val="0"/>
        <w:adjustRightInd/>
        <w:snapToGrid/>
        <w:spacing w:after="0"/>
        <w:ind w:firstLine="560"/>
        <w:textAlignment w:val="auto"/>
      </w:pPr>
      <w:r>
        <w:rPr>
          <w:rFonts w:hint="eastAsia"/>
        </w:rPr>
        <w:t xml:space="preserve">①引进物种严格筛选，并进行严格的生物安全测试，引种后进行全面长期的试验和动态监测，最后做出科学评估。 </w:t>
      </w:r>
    </w:p>
    <w:p>
      <w:pPr>
        <w:pStyle w:val="16"/>
        <w:keepNext w:val="0"/>
        <w:keepLines w:val="0"/>
        <w:pageBreakBefore w:val="0"/>
        <w:widowControl w:val="0"/>
        <w:kinsoku/>
        <w:wordWrap/>
        <w:overflowPunct/>
        <w:topLinePunct w:val="0"/>
        <w:autoSpaceDE/>
        <w:autoSpaceDN/>
        <w:bidi w:val="0"/>
        <w:adjustRightInd/>
        <w:snapToGrid/>
        <w:spacing w:after="0"/>
        <w:ind w:firstLine="560"/>
        <w:textAlignment w:val="auto"/>
      </w:pPr>
      <w:r>
        <w:rPr>
          <w:rFonts w:hint="eastAsia"/>
        </w:rPr>
        <w:t>②严格控制引入物种的数量，对其自身繁殖必须进行科学管理和有力控制。</w:t>
      </w:r>
    </w:p>
    <w:p>
      <w:pPr>
        <w:pStyle w:val="16"/>
        <w:keepNext w:val="0"/>
        <w:keepLines w:val="0"/>
        <w:pageBreakBefore w:val="0"/>
        <w:widowControl w:val="0"/>
        <w:kinsoku/>
        <w:wordWrap/>
        <w:overflowPunct/>
        <w:topLinePunct w:val="0"/>
        <w:autoSpaceDE/>
        <w:autoSpaceDN/>
        <w:bidi w:val="0"/>
        <w:adjustRightInd/>
        <w:snapToGrid/>
        <w:spacing w:after="0"/>
        <w:ind w:firstLine="560"/>
        <w:textAlignment w:val="auto"/>
      </w:pPr>
      <w:r>
        <w:rPr>
          <w:rFonts w:hint="eastAsia"/>
        </w:rPr>
        <w:t>③限制引入动物直接放生，以控制和减少引入物种对当地物种造成威胁。</w:t>
      </w:r>
    </w:p>
    <w:p>
      <w:pPr>
        <w:pStyle w:val="16"/>
        <w:keepNext w:val="0"/>
        <w:keepLines w:val="0"/>
        <w:pageBreakBefore w:val="0"/>
        <w:widowControl w:val="0"/>
        <w:kinsoku/>
        <w:wordWrap/>
        <w:overflowPunct/>
        <w:topLinePunct w:val="0"/>
        <w:autoSpaceDE/>
        <w:autoSpaceDN/>
        <w:bidi w:val="0"/>
        <w:adjustRightInd/>
        <w:snapToGrid/>
        <w:spacing w:after="0"/>
        <w:ind w:firstLine="560"/>
        <w:textAlignment w:val="auto"/>
      </w:pPr>
      <w:r>
        <w:rPr>
          <w:rFonts w:hint="eastAsia"/>
        </w:rPr>
        <w:t>④按照生物的生态学和生物学特性，尽量为引入物种提供良好的生存环境。</w:t>
      </w:r>
    </w:p>
    <w:p>
      <w:pPr>
        <w:pStyle w:val="16"/>
        <w:keepNext w:val="0"/>
        <w:keepLines w:val="0"/>
        <w:pageBreakBefore w:val="0"/>
        <w:widowControl w:val="0"/>
        <w:kinsoku/>
        <w:wordWrap/>
        <w:overflowPunct/>
        <w:topLinePunct w:val="0"/>
        <w:autoSpaceDE/>
        <w:autoSpaceDN/>
        <w:bidi w:val="0"/>
        <w:adjustRightInd/>
        <w:snapToGrid/>
        <w:spacing w:after="0"/>
        <w:ind w:firstLine="560"/>
        <w:textAlignment w:val="auto"/>
      </w:pPr>
      <w:r>
        <w:rPr>
          <w:rFonts w:hint="eastAsia"/>
        </w:rPr>
        <w:t>随着湿地生态系统功能完善和食物来源的稳定，候鸟数量将会显著增多，可能会增加禽流感疾病传播的危险性。但这些危险以目前的技术难以预测，必须通过严密的监测措施和紧急预案措施的建立，可有效地降低这种危险性，以提高人与其它生物的安全性。</w:t>
      </w:r>
    </w:p>
    <w:p>
      <w:pPr>
        <w:pStyle w:val="16"/>
        <w:keepNext w:val="0"/>
        <w:keepLines w:val="0"/>
        <w:pageBreakBefore w:val="0"/>
        <w:widowControl w:val="0"/>
        <w:kinsoku/>
        <w:wordWrap/>
        <w:overflowPunct/>
        <w:topLinePunct w:val="0"/>
        <w:autoSpaceDE/>
        <w:autoSpaceDN/>
        <w:bidi w:val="0"/>
        <w:adjustRightInd/>
        <w:snapToGrid/>
        <w:spacing w:after="0"/>
        <w:ind w:firstLine="560"/>
        <w:textAlignment w:val="auto"/>
      </w:pPr>
      <w:r>
        <w:rPr>
          <w:rFonts w:hint="eastAsia"/>
        </w:rPr>
        <w:t>综上所述，湿地公园与石门县的社会经济、城市总体规划、旅游业、生态与环境保护规划保持一致，其开发建设有利于全面提升区域旅游业的发展，有利于区域经济的发展。湿地公园在建设过程中，没有对环境有重大不利影响的工程项目，湿地公园在建设性质上是一项生态建设项目，其环境影响是总体上是正面的、积极的，只会使生态环境得到保护和恢复，不会破坏自然生态环境。根据对项目环境影响的初步评价分析，本项目属于对环境影响较小的项目。</w:t>
      </w:r>
    </w:p>
    <w:p>
      <w:pPr>
        <w:pStyle w:val="5"/>
        <w:numPr>
          <w:ilvl w:val="1"/>
          <w:numId w:val="89"/>
        </w:numPr>
        <w:spacing w:before="197"/>
      </w:pPr>
      <w:bookmarkStart w:id="779" w:name="_Toc114084698"/>
      <w:bookmarkStart w:id="780" w:name="_Toc1643"/>
      <w:bookmarkStart w:id="781" w:name="_Toc22419"/>
      <w:bookmarkStart w:id="782" w:name="_Toc117114427"/>
      <w:bookmarkStart w:id="783" w:name="_Toc113925663"/>
      <w:bookmarkStart w:id="784" w:name="_Toc113925915"/>
      <w:r>
        <w:rPr>
          <w:rFonts w:hint="eastAsia"/>
        </w:rPr>
        <w:t>建设期环境保护措施</w:t>
      </w:r>
      <w:bookmarkEnd w:id="779"/>
      <w:bookmarkEnd w:id="780"/>
      <w:bookmarkEnd w:id="781"/>
      <w:bookmarkEnd w:id="782"/>
      <w:bookmarkEnd w:id="783"/>
      <w:bookmarkEnd w:id="784"/>
      <w:r>
        <w:t xml:space="preserve"> </w:t>
      </w:r>
    </w:p>
    <w:p>
      <w:pPr>
        <w:pStyle w:val="6"/>
        <w:numPr>
          <w:ilvl w:val="2"/>
          <w:numId w:val="90"/>
        </w:numPr>
      </w:pPr>
      <w:bookmarkStart w:id="785" w:name="_Toc113925664"/>
      <w:bookmarkStart w:id="786" w:name="_Toc113925916"/>
      <w:r>
        <w:rPr>
          <w:rFonts w:hint="eastAsia"/>
        </w:rPr>
        <w:t>对声环境的保护</w:t>
      </w:r>
      <w:bookmarkEnd w:id="785"/>
      <w:bookmarkEnd w:id="786"/>
    </w:p>
    <w:p>
      <w:pPr>
        <w:ind w:firstLine="560"/>
        <w:rPr>
          <w:rFonts w:cs="Times New Roman"/>
        </w:rPr>
      </w:pPr>
      <w:r>
        <w:rPr>
          <w:rFonts w:hint="eastAsia" w:cs="Times New Roman"/>
        </w:rPr>
        <w:t>经工程分析，施工噪声对周边环境影响较大，特别是夜间施工对周围居民生活的影响尤为突出，必须采用相应的措施以减小施工噪声对周围环境影响。</w:t>
      </w:r>
    </w:p>
    <w:p>
      <w:pPr>
        <w:ind w:firstLine="560"/>
        <w:rPr>
          <w:rFonts w:cs="Times New Roman"/>
        </w:rPr>
      </w:pPr>
      <w:r>
        <w:rPr>
          <w:rFonts w:cs="Times New Roman"/>
        </w:rPr>
        <w:fldChar w:fldCharType="begin"/>
      </w:r>
      <w:r>
        <w:rPr>
          <w:rFonts w:cs="Times New Roman"/>
        </w:rPr>
        <w:instrText xml:space="preserve">=1\*GB3</w:instrText>
      </w:r>
      <w:r>
        <w:rPr>
          <w:rFonts w:cs="Times New Roman"/>
        </w:rPr>
        <w:fldChar w:fldCharType="separate"/>
      </w:r>
      <w:r>
        <w:rPr>
          <w:rFonts w:hint="eastAsia" w:cs="Times New Roman"/>
        </w:rPr>
        <w:t>①</w:t>
      </w:r>
      <w:r>
        <w:rPr>
          <w:rFonts w:cs="Times New Roman"/>
        </w:rPr>
        <w:fldChar w:fldCharType="end"/>
      </w:r>
      <w:r>
        <w:rPr>
          <w:rFonts w:hint="eastAsia" w:cs="Times New Roman"/>
        </w:rPr>
        <w:t xml:space="preserve"> 从声源上控制：建设单位在与施工单位签订合同时，应要求其使用的主要机械设备为低噪声机械设备。同时在施工过程中施工单位应设专人队对设备进行定期保养和维护，并负责对现场工作人员进行培训，严格按操作规范使用各类机械。</w:t>
      </w:r>
    </w:p>
    <w:p>
      <w:pPr>
        <w:ind w:firstLine="560"/>
        <w:rPr>
          <w:rFonts w:cs="Times New Roman"/>
        </w:rPr>
      </w:pPr>
      <w:r>
        <w:rPr>
          <w:rFonts w:cs="Times New Roman"/>
        </w:rPr>
        <w:fldChar w:fldCharType="begin"/>
      </w:r>
      <w:r>
        <w:rPr>
          <w:rFonts w:cs="Times New Roman"/>
        </w:rPr>
        <w:instrText xml:space="preserve">=2\*GB3</w:instrText>
      </w:r>
      <w:r>
        <w:rPr>
          <w:rFonts w:cs="Times New Roman"/>
        </w:rPr>
        <w:fldChar w:fldCharType="separate"/>
      </w:r>
      <w:r>
        <w:rPr>
          <w:rFonts w:hint="eastAsia" w:cs="Times New Roman"/>
        </w:rPr>
        <w:t>②</w:t>
      </w:r>
      <w:r>
        <w:rPr>
          <w:rFonts w:cs="Times New Roman"/>
        </w:rPr>
        <w:fldChar w:fldCharType="end"/>
      </w:r>
      <w:r>
        <w:rPr>
          <w:rFonts w:hint="eastAsia" w:cs="Times New Roman"/>
        </w:rPr>
        <w:t xml:space="preserve"> 合理安排施工时间，严禁夜间高噪声设备的施工作业，若不可避免使用时，需提前向环保部门提出申请，并在附近受影响区域张贴安民告示。</w:t>
      </w:r>
    </w:p>
    <w:p>
      <w:pPr>
        <w:ind w:firstLine="560"/>
        <w:rPr>
          <w:rFonts w:cs="Times New Roman"/>
        </w:rPr>
      </w:pPr>
      <w:r>
        <w:rPr>
          <w:rFonts w:cs="Times New Roman"/>
        </w:rPr>
        <w:fldChar w:fldCharType="begin"/>
      </w:r>
      <w:r>
        <w:rPr>
          <w:rFonts w:cs="Times New Roman"/>
        </w:rPr>
        <w:instrText xml:space="preserve">=3\*GB3</w:instrText>
      </w:r>
      <w:r>
        <w:rPr>
          <w:rFonts w:cs="Times New Roman"/>
        </w:rPr>
        <w:fldChar w:fldCharType="separate"/>
      </w:r>
      <w:r>
        <w:rPr>
          <w:rFonts w:hint="eastAsia" w:cs="Times New Roman"/>
        </w:rPr>
        <w:t>③</w:t>
      </w:r>
      <w:r>
        <w:rPr>
          <w:rFonts w:cs="Times New Roman"/>
        </w:rPr>
        <w:fldChar w:fldCharType="end"/>
      </w:r>
      <w:r>
        <w:rPr>
          <w:rFonts w:hint="eastAsia" w:cs="Times New Roman"/>
        </w:rPr>
        <w:t xml:space="preserve"> 使用商品混凝土，避免混凝土搅拌机等噪声的影响。</w:t>
      </w:r>
    </w:p>
    <w:p>
      <w:pPr>
        <w:ind w:firstLine="560"/>
        <w:rPr>
          <w:rFonts w:cs="Times New Roman"/>
        </w:rPr>
      </w:pPr>
      <w:r>
        <w:rPr>
          <w:rFonts w:cs="Times New Roman"/>
        </w:rPr>
        <w:fldChar w:fldCharType="begin"/>
      </w:r>
      <w:r>
        <w:rPr>
          <w:rFonts w:cs="Times New Roman"/>
        </w:rPr>
        <w:instrText xml:space="preserve">=4\*GB3</w:instrText>
      </w:r>
      <w:r>
        <w:rPr>
          <w:rFonts w:cs="Times New Roman"/>
        </w:rPr>
        <w:fldChar w:fldCharType="separate"/>
      </w:r>
      <w:r>
        <w:rPr>
          <w:rFonts w:hint="eastAsia" w:cs="Times New Roman"/>
        </w:rPr>
        <w:t>④</w:t>
      </w:r>
      <w:r>
        <w:rPr>
          <w:rFonts w:cs="Times New Roman"/>
        </w:rPr>
        <w:fldChar w:fldCharType="end"/>
      </w:r>
      <w:r>
        <w:rPr>
          <w:rFonts w:hint="eastAsia" w:cs="Times New Roman"/>
        </w:rPr>
        <w:t xml:space="preserve"> 采用声屏障措施：在施工场地周围有敏感点的地方设立临时声屏障；在施工的结构阶段和装修阶段，对建筑无碍外部也应采用围挡，以减轻设备噪声对周围环境的影响。</w:t>
      </w:r>
    </w:p>
    <w:p>
      <w:pPr>
        <w:ind w:firstLine="560"/>
        <w:rPr>
          <w:rFonts w:cs="Times New Roman"/>
        </w:rPr>
      </w:pPr>
      <w:r>
        <w:rPr>
          <w:rFonts w:cs="Times New Roman"/>
        </w:rPr>
        <w:fldChar w:fldCharType="begin"/>
      </w:r>
      <w:r>
        <w:rPr>
          <w:rFonts w:cs="Times New Roman"/>
        </w:rPr>
        <w:instrText xml:space="preserve">=5\*GB3</w:instrText>
      </w:r>
      <w:r>
        <w:rPr>
          <w:rFonts w:cs="Times New Roman"/>
        </w:rPr>
        <w:fldChar w:fldCharType="separate"/>
      </w:r>
      <w:r>
        <w:rPr>
          <w:rFonts w:hint="eastAsia" w:cs="Times New Roman"/>
        </w:rPr>
        <w:t>⑤</w:t>
      </w:r>
      <w:r>
        <w:rPr>
          <w:rFonts w:cs="Times New Roman"/>
        </w:rPr>
        <w:fldChar w:fldCharType="end"/>
      </w:r>
      <w:r>
        <w:rPr>
          <w:rFonts w:hint="eastAsia" w:cs="Times New Roman"/>
        </w:rPr>
        <w:t xml:space="preserve"> 施工场地的施工车辆出入地点应尽量远离敏感点，车辆出入现场时应低速、禁鸣。</w:t>
      </w:r>
    </w:p>
    <w:p>
      <w:pPr>
        <w:ind w:firstLine="560"/>
        <w:rPr>
          <w:rFonts w:cs="Times New Roman"/>
        </w:rPr>
      </w:pPr>
      <w:r>
        <w:rPr>
          <w:rFonts w:cs="Times New Roman"/>
        </w:rPr>
        <w:fldChar w:fldCharType="begin"/>
      </w:r>
      <w:r>
        <w:rPr>
          <w:rFonts w:cs="Times New Roman"/>
        </w:rPr>
        <w:instrText xml:space="preserve">=6\*GB3</w:instrText>
      </w:r>
      <w:r>
        <w:rPr>
          <w:rFonts w:cs="Times New Roman"/>
        </w:rPr>
        <w:fldChar w:fldCharType="separate"/>
      </w:r>
      <w:r>
        <w:rPr>
          <w:rFonts w:hint="eastAsia" w:cs="Times New Roman"/>
        </w:rPr>
        <w:t>⑥</w:t>
      </w:r>
      <w:r>
        <w:rPr>
          <w:rFonts w:cs="Times New Roman"/>
        </w:rPr>
        <w:fldChar w:fldCharType="end"/>
      </w:r>
      <w:r>
        <w:rPr>
          <w:rFonts w:hint="eastAsia" w:cs="Times New Roman"/>
        </w:rPr>
        <w:t xml:space="preserve"> 建设管理部门应加强对施工场地的噪声管理，施工企业也应对施工噪声进行自律，文明施工，避免因施工噪声产生纠纷。</w:t>
      </w:r>
    </w:p>
    <w:p>
      <w:pPr>
        <w:pStyle w:val="6"/>
        <w:numPr>
          <w:ilvl w:val="2"/>
          <w:numId w:val="90"/>
        </w:numPr>
      </w:pPr>
      <w:bookmarkStart w:id="787" w:name="_Toc113925665"/>
      <w:bookmarkStart w:id="788" w:name="_Toc113925917"/>
      <w:r>
        <w:rPr>
          <w:rFonts w:hint="eastAsia"/>
        </w:rPr>
        <w:t>对大气环境的保护</w:t>
      </w:r>
      <w:bookmarkEnd w:id="787"/>
      <w:bookmarkEnd w:id="788"/>
    </w:p>
    <w:p>
      <w:pPr>
        <w:ind w:firstLine="560"/>
        <w:rPr>
          <w:rFonts w:cs="Times New Roman"/>
        </w:rPr>
      </w:pPr>
      <w:r>
        <w:rPr>
          <w:rFonts w:hint="eastAsia" w:cs="Times New Roman"/>
        </w:rPr>
        <w:t>针对施工期扬尘的问题，本项目施工期拟采取如下控制措施：</w:t>
      </w:r>
    </w:p>
    <w:p>
      <w:pPr>
        <w:ind w:firstLine="560"/>
        <w:rPr>
          <w:rFonts w:cs="Times New Roman"/>
        </w:rPr>
      </w:pPr>
      <w:r>
        <w:rPr>
          <w:rFonts w:cs="Times New Roman"/>
        </w:rPr>
        <w:fldChar w:fldCharType="begin"/>
      </w:r>
      <w:r>
        <w:rPr>
          <w:rFonts w:cs="Times New Roman"/>
        </w:rPr>
        <w:instrText xml:space="preserve">=1\*GB3</w:instrText>
      </w:r>
      <w:r>
        <w:rPr>
          <w:rFonts w:cs="Times New Roman"/>
        </w:rPr>
        <w:fldChar w:fldCharType="separate"/>
      </w:r>
      <w:r>
        <w:rPr>
          <w:rFonts w:hint="eastAsia" w:cs="Times New Roman"/>
        </w:rPr>
        <w:t>①</w:t>
      </w:r>
      <w:r>
        <w:rPr>
          <w:rFonts w:cs="Times New Roman"/>
        </w:rPr>
        <w:fldChar w:fldCharType="end"/>
      </w:r>
      <w:r>
        <w:rPr>
          <w:rFonts w:hint="eastAsia" w:cs="Times New Roman"/>
        </w:rPr>
        <w:t xml:space="preserve"> 在施工过程中，作业场地将采取围挡、围护以减少扬尘扩散，围挡、围护对减少扬尘对环境的污染有明显作用，当风速为2.5m/s时可使影响距离缩短40%。在施工现场周围，连续设置不低于2.5m高的围挡，并做到坚固美观。</w:t>
      </w:r>
    </w:p>
    <w:p>
      <w:pPr>
        <w:ind w:firstLine="560"/>
        <w:rPr>
          <w:rFonts w:cs="Times New Roman"/>
        </w:rPr>
      </w:pPr>
      <w:r>
        <w:rPr>
          <w:rFonts w:cs="Times New Roman"/>
        </w:rPr>
        <w:fldChar w:fldCharType="begin"/>
      </w:r>
      <w:r>
        <w:rPr>
          <w:rFonts w:cs="Times New Roman"/>
        </w:rPr>
        <w:instrText xml:space="preserve">=2\*GB3</w:instrText>
      </w:r>
      <w:r>
        <w:rPr>
          <w:rFonts w:cs="Times New Roman"/>
        </w:rPr>
        <w:fldChar w:fldCharType="separate"/>
      </w:r>
      <w:r>
        <w:rPr>
          <w:rFonts w:hint="eastAsia" w:cs="Times New Roman"/>
        </w:rPr>
        <w:t>②</w:t>
      </w:r>
      <w:r>
        <w:rPr>
          <w:rFonts w:cs="Times New Roman"/>
        </w:rPr>
        <w:fldChar w:fldCharType="end"/>
      </w:r>
      <w:r>
        <w:rPr>
          <w:rFonts w:hint="eastAsia" w:cs="Times New Roman"/>
        </w:rPr>
        <w:t xml:space="preserve"> 在施工场地安排员工定期对施工场地洒水以减少扬尘量，洒水次数根据天气状况而定，一般每天洒水1～2次，若遇到大风或干燥天气可适当增加洒水次数。施工场地洒水与否对扬尘的影响较大，场地洒水后，扬尘量将减低28%～75%，大大减少了其对环境的影响。</w:t>
      </w:r>
    </w:p>
    <w:p>
      <w:pPr>
        <w:ind w:firstLine="560"/>
        <w:rPr>
          <w:rFonts w:cs="Times New Roman"/>
        </w:rPr>
      </w:pPr>
      <w:r>
        <w:rPr>
          <w:rFonts w:cs="Times New Roman"/>
        </w:rPr>
        <w:fldChar w:fldCharType="begin"/>
      </w:r>
      <w:r>
        <w:rPr>
          <w:rFonts w:cs="Times New Roman"/>
        </w:rPr>
        <w:instrText xml:space="preserve">=3\*GB3</w:instrText>
      </w:r>
      <w:r>
        <w:rPr>
          <w:rFonts w:cs="Times New Roman"/>
        </w:rPr>
        <w:fldChar w:fldCharType="separate"/>
      </w:r>
      <w:r>
        <w:rPr>
          <w:rFonts w:hint="eastAsia" w:cs="Times New Roman"/>
        </w:rPr>
        <w:t>③</w:t>
      </w:r>
      <w:r>
        <w:rPr>
          <w:rFonts w:cs="Times New Roman"/>
        </w:rPr>
        <w:fldChar w:fldCharType="end"/>
      </w:r>
      <w:r>
        <w:rPr>
          <w:rFonts w:hint="eastAsia" w:cs="Times New Roman"/>
        </w:rPr>
        <w:t xml:space="preserve"> 对运输建筑材料及建筑垃圾的车辆加盖蓬布减少洒落。同时，车辆进出、装卸场地时应用水将轮胎冲洗干净；车辆行驶路线应首选外环路，尽量避开居民区和市中心区。</w:t>
      </w:r>
    </w:p>
    <w:p>
      <w:pPr>
        <w:ind w:firstLine="560"/>
        <w:rPr>
          <w:rFonts w:cs="Times New Roman"/>
        </w:rPr>
      </w:pPr>
      <w:r>
        <w:rPr>
          <w:rFonts w:cs="Times New Roman"/>
        </w:rPr>
        <w:fldChar w:fldCharType="begin"/>
      </w:r>
      <w:r>
        <w:rPr>
          <w:rFonts w:cs="Times New Roman"/>
        </w:rPr>
        <w:instrText xml:space="preserve">=4\*GB3</w:instrText>
      </w:r>
      <w:r>
        <w:rPr>
          <w:rFonts w:cs="Times New Roman"/>
        </w:rPr>
        <w:fldChar w:fldCharType="separate"/>
      </w:r>
      <w:r>
        <w:rPr>
          <w:rFonts w:hint="eastAsia" w:cs="Times New Roman"/>
        </w:rPr>
        <w:t>④</w:t>
      </w:r>
      <w:r>
        <w:rPr>
          <w:rFonts w:cs="Times New Roman"/>
        </w:rPr>
        <w:fldChar w:fldCharType="end"/>
      </w:r>
      <w:r>
        <w:rPr>
          <w:rFonts w:hint="eastAsia" w:cs="Times New Roman"/>
        </w:rPr>
        <w:t xml:space="preserve"> 使用商品混凝土，尽量避免在大风天气下进行施工作业。</w:t>
      </w:r>
    </w:p>
    <w:p>
      <w:pPr>
        <w:ind w:firstLine="560"/>
        <w:rPr>
          <w:rFonts w:cs="Times New Roman"/>
        </w:rPr>
      </w:pPr>
      <w:r>
        <w:rPr>
          <w:rFonts w:cs="Times New Roman"/>
        </w:rPr>
        <w:fldChar w:fldCharType="begin"/>
      </w:r>
      <w:r>
        <w:rPr>
          <w:rFonts w:cs="Times New Roman"/>
        </w:rPr>
        <w:instrText xml:space="preserve">=5\*GB3</w:instrText>
      </w:r>
      <w:r>
        <w:rPr>
          <w:rFonts w:cs="Times New Roman"/>
        </w:rPr>
        <w:fldChar w:fldCharType="separate"/>
      </w:r>
      <w:r>
        <w:rPr>
          <w:rFonts w:hint="eastAsia" w:cs="Times New Roman"/>
        </w:rPr>
        <w:t>⑤</w:t>
      </w:r>
      <w:r>
        <w:rPr>
          <w:rFonts w:cs="Times New Roman"/>
        </w:rPr>
        <w:fldChar w:fldCharType="end"/>
      </w:r>
      <w:r>
        <w:rPr>
          <w:rFonts w:hint="eastAsia" w:cs="Times New Roman"/>
        </w:rPr>
        <w:t xml:space="preserve"> 在施工场地上设置专人负责弃土、建筑垃圾、建筑材料的处置、清运和堆放，堆放场地加盖蓬布或洒水，防止二次扬尘。</w:t>
      </w:r>
    </w:p>
    <w:p>
      <w:pPr>
        <w:ind w:firstLine="560"/>
        <w:rPr>
          <w:rFonts w:cs="Times New Roman"/>
        </w:rPr>
      </w:pPr>
      <w:r>
        <w:rPr>
          <w:rFonts w:cs="Times New Roman"/>
        </w:rPr>
        <w:fldChar w:fldCharType="begin"/>
      </w:r>
      <w:r>
        <w:rPr>
          <w:rFonts w:cs="Times New Roman"/>
        </w:rPr>
        <w:instrText xml:space="preserve">=6\*GB3</w:instrText>
      </w:r>
      <w:r>
        <w:rPr>
          <w:rFonts w:cs="Times New Roman"/>
        </w:rPr>
        <w:fldChar w:fldCharType="separate"/>
      </w:r>
      <w:r>
        <w:rPr>
          <w:rFonts w:hint="eastAsia" w:cs="Times New Roman"/>
        </w:rPr>
        <w:t>⑥</w:t>
      </w:r>
      <w:r>
        <w:rPr>
          <w:rFonts w:cs="Times New Roman"/>
        </w:rPr>
        <w:fldChar w:fldCharType="end"/>
      </w:r>
      <w:r>
        <w:rPr>
          <w:rFonts w:hint="eastAsia" w:cs="Times New Roman"/>
        </w:rPr>
        <w:t xml:space="preserve"> 对建筑垃圾及弃土应及时处理、清运、以减少占地，防止扬尘污染，改善施工场地的环境。</w:t>
      </w:r>
    </w:p>
    <w:p>
      <w:pPr>
        <w:ind w:firstLine="560"/>
        <w:rPr>
          <w:rFonts w:cs="Times New Roman"/>
        </w:rPr>
      </w:pPr>
      <w:r>
        <w:rPr>
          <w:rFonts w:hint="eastAsia" w:cs="Times New Roman"/>
        </w:rPr>
        <w:t>总之，只要加强管理、切实落实好这些措施，施工场地扬尘对环境的影响将会大大降低，同时其对环境的影响也将随施工的结束而消失。</w:t>
      </w:r>
    </w:p>
    <w:p>
      <w:pPr>
        <w:pStyle w:val="6"/>
        <w:numPr>
          <w:ilvl w:val="2"/>
          <w:numId w:val="90"/>
        </w:numPr>
      </w:pPr>
      <w:bookmarkStart w:id="789" w:name="_Toc113925666"/>
      <w:bookmarkStart w:id="790" w:name="_Toc113925918"/>
      <w:r>
        <w:rPr>
          <w:rFonts w:hint="eastAsia"/>
        </w:rPr>
        <w:t>对水环境的保护</w:t>
      </w:r>
      <w:bookmarkEnd w:id="789"/>
      <w:bookmarkEnd w:id="790"/>
    </w:p>
    <w:p>
      <w:pPr>
        <w:ind w:firstLine="560"/>
        <w:rPr>
          <w:rFonts w:cs="Times New Roman"/>
        </w:rPr>
      </w:pPr>
      <w:r>
        <w:rPr>
          <w:rFonts w:hint="eastAsia" w:cs="Times New Roman"/>
        </w:rPr>
        <w:t>泥浆废水设沉淀池收集后部分回用。少量泼洒场地，对环境影响很小。施工期施工人员的生活污水及设备车辆的冲洗水等，禁止乱排、漫流，经过这些措施，本项目施工期对地表水环境的影响将大大减小。</w:t>
      </w:r>
    </w:p>
    <w:p>
      <w:pPr>
        <w:pStyle w:val="6"/>
        <w:numPr>
          <w:ilvl w:val="2"/>
          <w:numId w:val="90"/>
        </w:numPr>
      </w:pPr>
      <w:bookmarkStart w:id="791" w:name="_Toc113925667"/>
      <w:bookmarkStart w:id="792" w:name="_Toc113925919"/>
      <w:r>
        <w:rPr>
          <w:rFonts w:hint="eastAsia"/>
        </w:rPr>
        <w:t>固体废弃物防治措施</w:t>
      </w:r>
      <w:bookmarkEnd w:id="791"/>
      <w:bookmarkEnd w:id="792"/>
    </w:p>
    <w:p>
      <w:pPr>
        <w:ind w:firstLine="560"/>
        <w:rPr>
          <w:rFonts w:cs="Times New Roman"/>
        </w:rPr>
      </w:pPr>
      <w:r>
        <w:rPr>
          <w:rFonts w:hint="eastAsia" w:cs="Times New Roman"/>
        </w:rPr>
        <w:t>施工现场产生的固体废物以施工垃圾为主。大量的垃圾及弃土的土方不仅影响城市景观，而且还容易引起扬尘等环境问题，为避免这些问题的出现，对施工中产生的固体废物必须及时处理。</w:t>
      </w:r>
    </w:p>
    <w:p>
      <w:pPr>
        <w:ind w:firstLine="560"/>
        <w:rPr>
          <w:rFonts w:cs="Times New Roman"/>
        </w:rPr>
      </w:pPr>
      <w:r>
        <w:rPr>
          <w:rFonts w:hint="eastAsia" w:cs="Times New Roman"/>
        </w:rPr>
        <w:t>车辆运输散体物和废弃物时，必须密封、包扎、覆盖，不得沿途撒漏；运载土方的车辆必须在规定的时间内，按指定路段行驶。建设过程中应加强管理，文明施工，使建设期间对周围环境的影响减少到较低限度，做到发展与保护环境相协调。</w:t>
      </w:r>
    </w:p>
    <w:p>
      <w:pPr>
        <w:ind w:firstLine="560"/>
        <w:rPr>
          <w:rFonts w:cs="Times New Roman"/>
        </w:rPr>
      </w:pPr>
      <w:r>
        <w:rPr>
          <w:rFonts w:hint="eastAsia" w:cs="Times New Roman"/>
        </w:rPr>
        <w:t>施工期的生活垃圾量很少，主要是厨余，另外还有少量工人用餐后的废弃饭盒、塑料袋等，如不及时清理，在气温适宜的条件下会滋生蚊虫、产生恶臭、传播疾病。本项目采取定点堆放、即产即清的方法外运至指点地点消纳，可以消除其影响。</w:t>
      </w:r>
    </w:p>
    <w:p>
      <w:pPr>
        <w:pStyle w:val="6"/>
        <w:numPr>
          <w:ilvl w:val="2"/>
          <w:numId w:val="90"/>
        </w:numPr>
      </w:pPr>
      <w:bookmarkStart w:id="793" w:name="_Toc113925920"/>
      <w:bookmarkStart w:id="794" w:name="_Toc113925668"/>
      <w:r>
        <w:rPr>
          <w:rFonts w:hint="eastAsia"/>
        </w:rPr>
        <w:t>生物多样性保护加强措施</w:t>
      </w:r>
      <w:bookmarkEnd w:id="793"/>
      <w:bookmarkEnd w:id="794"/>
      <w:r>
        <w:t xml:space="preserve"> </w:t>
      </w:r>
    </w:p>
    <w:p>
      <w:pPr>
        <w:ind w:firstLine="560"/>
        <w:rPr>
          <w:rFonts w:cs="Times New Roman"/>
        </w:rPr>
      </w:pPr>
      <w:r>
        <w:rPr>
          <w:rFonts w:hint="eastAsia" w:cs="Times New Roman"/>
        </w:rPr>
        <w:t>积极保护湿地野生动植物种类和数量，维护生物多样性，加强对外来苗木检疫，未经检疫的苗木不得使用；引进物种要严格筛选，并进行严格的生物安全测试，引种后进行全面长期的试验和动态监测，最后进行科学评估；严格控制引入物种的数量，对其自身繁殖必须进行科学管理和有力控制；限制引入动物直接放生，以控制和减少引入物种对当地物种造成威胁；按照生物的生态学和生物学特性，尽量为引入物种提供完善的生存环境；建立禽流感紧急预案措施。</w:t>
      </w:r>
    </w:p>
    <w:p>
      <w:pPr>
        <w:pStyle w:val="5"/>
        <w:numPr>
          <w:ilvl w:val="1"/>
          <w:numId w:val="90"/>
        </w:numPr>
        <w:spacing w:before="197"/>
      </w:pPr>
      <w:bookmarkStart w:id="795" w:name="_Toc113925669"/>
      <w:bookmarkStart w:id="796" w:name="_Toc4429"/>
      <w:bookmarkStart w:id="797" w:name="_Toc117114428"/>
      <w:bookmarkStart w:id="798" w:name="_Toc114084699"/>
      <w:bookmarkStart w:id="799" w:name="_Toc6110"/>
      <w:bookmarkStart w:id="800" w:name="_Toc113925921"/>
      <w:r>
        <w:rPr>
          <w:rFonts w:hint="eastAsia"/>
        </w:rPr>
        <w:t>运营期环境保护措施</w:t>
      </w:r>
      <w:bookmarkEnd w:id="795"/>
      <w:bookmarkEnd w:id="796"/>
      <w:bookmarkEnd w:id="797"/>
      <w:bookmarkEnd w:id="798"/>
      <w:bookmarkEnd w:id="799"/>
      <w:bookmarkEnd w:id="800"/>
    </w:p>
    <w:p>
      <w:pPr>
        <w:pStyle w:val="6"/>
        <w:numPr>
          <w:ilvl w:val="2"/>
          <w:numId w:val="91"/>
        </w:numPr>
      </w:pPr>
      <w:bookmarkStart w:id="801" w:name="_Toc113925922"/>
      <w:bookmarkStart w:id="802" w:name="_Toc113925670"/>
      <w:r>
        <w:rPr>
          <w:rFonts w:hint="eastAsia"/>
        </w:rPr>
        <w:t>对水环境影响的减缓措施</w:t>
      </w:r>
      <w:bookmarkEnd w:id="801"/>
      <w:bookmarkEnd w:id="802"/>
      <w:r>
        <w:t xml:space="preserve"> </w:t>
      </w:r>
    </w:p>
    <w:p>
      <w:pPr>
        <w:ind w:firstLine="560"/>
        <w:rPr>
          <w:rFonts w:cs="Times New Roman"/>
        </w:rPr>
      </w:pPr>
      <w:r>
        <w:rPr>
          <w:rFonts w:hint="eastAsia" w:cs="Times New Roman"/>
        </w:rPr>
        <w:t>对流经区域内的河流及周边水系进行先期环境影响评价，特别是周边居民生活污水要集中治理，达标后排放；湿地公园内部生产生活污水统一收集，统一处理，利用构建的湿地生态系统通过自然净化系统降解和排除；建立突发水质污染预警及应急预案，通过紧急治污工程、植被恢复工程的建设将改善内部径流水质，净化水体。同时，范围内水源保护地以及</w:t>
      </w:r>
      <w:r>
        <w:rPr>
          <w:rFonts w:hint="eastAsia" w:cs="Times New Roman"/>
          <w:lang w:eastAsia="zh-CN"/>
        </w:rPr>
        <w:t>生态</w:t>
      </w:r>
      <w:r>
        <w:rPr>
          <w:rFonts w:hint="eastAsia" w:cs="Times New Roman"/>
        </w:rPr>
        <w:t>保育区和恢复区将通过自身生态系统维护区域内水质。</w:t>
      </w:r>
    </w:p>
    <w:p>
      <w:pPr>
        <w:pStyle w:val="6"/>
        <w:numPr>
          <w:ilvl w:val="2"/>
          <w:numId w:val="91"/>
        </w:numPr>
      </w:pPr>
      <w:bookmarkStart w:id="803" w:name="_Toc113925923"/>
      <w:bookmarkStart w:id="804" w:name="_Toc113925671"/>
      <w:r>
        <w:rPr>
          <w:rFonts w:hint="eastAsia"/>
        </w:rPr>
        <w:t>对声环境影响减缓措施</w:t>
      </w:r>
      <w:bookmarkEnd w:id="803"/>
      <w:bookmarkEnd w:id="804"/>
    </w:p>
    <w:p>
      <w:pPr>
        <w:ind w:firstLine="560"/>
        <w:rPr>
          <w:rFonts w:cs="Times New Roman"/>
        </w:rPr>
      </w:pPr>
      <w:r>
        <w:rPr>
          <w:rFonts w:hint="eastAsia" w:cs="Times New Roman"/>
        </w:rPr>
        <w:t>进入湿地公园严禁大声喧哗，禁止鸣笛；湿地公园内广播音响在特殊情况才允许使用，</w:t>
      </w:r>
      <w:r>
        <w:rPr>
          <w:rFonts w:hint="eastAsia" w:cs="Times New Roman"/>
          <w:lang w:eastAsia="zh-CN"/>
        </w:rPr>
        <w:t>生态</w:t>
      </w:r>
      <w:r>
        <w:rPr>
          <w:rFonts w:hint="eastAsia" w:cs="Times New Roman"/>
        </w:rPr>
        <w:t xml:space="preserve">保育区内不安置广播设备；通过植被恢复，增加绿地面积，优化绿地植物分布格局，促进湿地自然生态恢复，起到调节小气候，降低噪音，减少灰尘，美化湿地环境的作用。 </w:t>
      </w:r>
    </w:p>
    <w:p>
      <w:pPr>
        <w:pStyle w:val="6"/>
        <w:numPr>
          <w:ilvl w:val="2"/>
          <w:numId w:val="91"/>
        </w:numPr>
      </w:pPr>
      <w:bookmarkStart w:id="805" w:name="_Toc113925924"/>
      <w:bookmarkStart w:id="806" w:name="_Toc113925672"/>
      <w:r>
        <w:rPr>
          <w:rFonts w:hint="eastAsia"/>
        </w:rPr>
        <w:t>对固体废弃物影响减缓措施</w:t>
      </w:r>
      <w:bookmarkEnd w:id="805"/>
      <w:bookmarkEnd w:id="806"/>
      <w:r>
        <w:t xml:space="preserve"> </w:t>
      </w:r>
    </w:p>
    <w:p>
      <w:pPr>
        <w:ind w:firstLine="560"/>
        <w:rPr>
          <w:rFonts w:cs="Times New Roman"/>
        </w:rPr>
      </w:pPr>
      <w:r>
        <w:rPr>
          <w:rFonts w:hint="eastAsia" w:cs="Times New Roman"/>
        </w:rPr>
        <w:t xml:space="preserve">加大基础设施建设资金的投入力度，特别是环卫设施方面，完善垃圾收集、处理系统。进行园内固体废弃物的分类回收，严禁乱丢垃圾，倡议使用可降解的专用收集袋。 </w:t>
      </w:r>
    </w:p>
    <w:p>
      <w:pPr>
        <w:pStyle w:val="6"/>
        <w:numPr>
          <w:ilvl w:val="2"/>
          <w:numId w:val="91"/>
        </w:numPr>
      </w:pPr>
      <w:bookmarkStart w:id="807" w:name="_Toc113925673"/>
      <w:bookmarkStart w:id="808" w:name="_Toc113925925"/>
      <w:r>
        <w:rPr>
          <w:rFonts w:hint="eastAsia"/>
        </w:rPr>
        <w:t>对自然资源影响减缓措施</w:t>
      </w:r>
      <w:bookmarkEnd w:id="807"/>
      <w:bookmarkEnd w:id="808"/>
      <w:r>
        <w:t xml:space="preserve"> </w:t>
      </w:r>
    </w:p>
    <w:p>
      <w:pPr>
        <w:ind w:firstLine="560"/>
        <w:rPr>
          <w:rFonts w:cs="Times New Roman"/>
        </w:rPr>
      </w:pPr>
      <w:r>
        <w:rPr>
          <w:rFonts w:hint="eastAsia" w:cs="Times New Roman"/>
        </w:rPr>
        <w:t>湿地公园的景观建设中，保护土壤和植被资源，建立结构合理、功能健康的湿地生态系统和自然开放空间；培育和种植独具特色的湿地植物，尽量采用乡土树种，适地适树，多树种、多林种。一方面恢复生态环境，另一方面为当地的物种提供适宜的生存环境，达到生态平衡。严格控制外来物种的数量，对其自身繁殖进行科学管理和有效控制。</w:t>
      </w:r>
    </w:p>
    <w:p>
      <w:pPr>
        <w:pStyle w:val="5"/>
        <w:numPr>
          <w:ilvl w:val="1"/>
          <w:numId w:val="45"/>
        </w:numPr>
        <w:spacing w:before="197"/>
      </w:pPr>
      <w:bookmarkStart w:id="809" w:name="_Toc19248"/>
      <w:bookmarkStart w:id="810" w:name="_Toc117114429"/>
      <w:bookmarkStart w:id="811" w:name="_Toc23067"/>
      <w:bookmarkStart w:id="812" w:name="_Toc113925926"/>
      <w:bookmarkStart w:id="813" w:name="_Toc114084700"/>
      <w:bookmarkStart w:id="814" w:name="_Toc113925674"/>
      <w:r>
        <w:rPr>
          <w:rFonts w:hint="eastAsia"/>
        </w:rPr>
        <w:t>环境影响评价结论</w:t>
      </w:r>
      <w:bookmarkEnd w:id="809"/>
      <w:bookmarkEnd w:id="810"/>
      <w:bookmarkEnd w:id="811"/>
      <w:bookmarkEnd w:id="812"/>
      <w:bookmarkEnd w:id="813"/>
      <w:bookmarkEnd w:id="814"/>
      <w:r>
        <w:t xml:space="preserve"> </w:t>
      </w:r>
    </w:p>
    <w:p>
      <w:pPr>
        <w:ind w:firstLine="560"/>
        <w:rPr>
          <w:rFonts w:cs="Times New Roman"/>
        </w:rPr>
      </w:pPr>
      <w:r>
        <w:rPr>
          <w:rFonts w:hint="eastAsia" w:cs="Times New Roman"/>
        </w:rPr>
        <w:t>湿地公园建设是一个以保护生态环境为主题的公益性环境建设项目。根据对项目环境影响的初步分析表明，项目总体上不会造成新的环境污染和破坏，工程建设过程中的影响也是暂时的，规划建成后的影响是可以避免的。从长期来看，湿地公园的建设有利于促进湿地自然生态环境的恢复，保护区域生物多样性；改善区域生态环境的质量，调节区域小气候，涵养水源、保持水土，优化区域内景观格局，为动植物提供丰富多样的栖息环境；为石门县人民休闲娱乐和科普教育提供场所，从多角度合理开发利用自然资源。</w:t>
      </w:r>
    </w:p>
    <w:p>
      <w:pPr>
        <w:ind w:firstLine="560"/>
        <w:rPr>
          <w:rFonts w:cs="Times New Roman"/>
        </w:rPr>
      </w:pPr>
      <w:r>
        <w:rPr>
          <w:rFonts w:hint="eastAsia" w:cs="Times New Roman"/>
        </w:rPr>
        <w:t>湿地公园现状生态环境质量优良，湿地动植物资源丰富。湿地公园建设将在一定范围和不同程度对规划区生态环境带来不利影响，但是，可以通过一定的措施减缓湿地公园建设过程对湿地生态环境的影响，并随着湿地公园建成，进一步改善和优化湿地生态环境。为使项目建设对环境的影响控制在规定的范围内，在各项工程开工建设前、建设中或完成后，应及时组织专家进行相关环境影响评价和分析。</w:t>
      </w:r>
    </w:p>
    <w:p>
      <w:pPr>
        <w:ind w:firstLine="560"/>
        <w:rPr>
          <w:rFonts w:cs="Times New Roman"/>
        </w:rPr>
      </w:pPr>
      <w:r>
        <w:rPr>
          <w:rFonts w:hint="eastAsia" w:cs="Times New Roman"/>
        </w:rPr>
        <w:t>综上所述，湿地公园建设符合国家目前产业政策和环保政策要求，具有良好的经济效益、社会效益和生态环境效益。项目建设遵循湿地资源利用与保护相协调的可持续发展指导思想，在利用中保护、在保护中利用，其建设将有效地实现湿地保护与资源利用协调发展，项目建设具有重大的现实意义。</w:t>
      </w:r>
    </w:p>
    <w:p>
      <w:pPr>
        <w:ind w:firstLine="560"/>
        <w:rPr>
          <w:rFonts w:cs="Times New Roman"/>
        </w:rPr>
      </w:pPr>
    </w:p>
    <w:sectPr>
      <w:footerReference r:id="rId14" w:type="default"/>
      <w:pgSz w:w="11905" w:h="16838"/>
      <w:pgMar w:top="1417" w:right="1417" w:bottom="1417" w:left="1587" w:header="907" w:footer="680" w:gutter="0"/>
      <w:pgNumType w:start="1"/>
      <w:cols w:space="0" w:num="1"/>
      <w:rtlGutter w:val="0"/>
      <w:docGrid w:type="lines" w:linePitch="395"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Microsoft Himalaya">
    <w:panose1 w:val="01010100010101010101"/>
    <w:charset w:val="00"/>
    <w:family w:val="auto"/>
    <w:pitch w:val="default"/>
    <w:sig w:usb0="80000003" w:usb1="00010000" w:usb2="00000040" w:usb3="00000000" w:csb0="00000001" w:csb1="00000000"/>
  </w:font>
  <w:font w:name="楷体">
    <w:panose1 w:val="02010609060101010101"/>
    <w:charset w:val="86"/>
    <w:family w:val="modern"/>
    <w:pitch w:val="default"/>
    <w:sig w:usb0="800002BF" w:usb1="38CF7CFA" w:usb2="00000016" w:usb3="00000000" w:csb0="00040001" w:csb1="00000000"/>
  </w:font>
  <w:font w:name="Calibri Light">
    <w:panose1 w:val="020F03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方正隶二_GBK">
    <w:panose1 w:val="03000509000000000000"/>
    <w:charset w:val="86"/>
    <w:family w:val="auto"/>
    <w:pitch w:val="default"/>
    <w:sig w:usb0="00000001" w:usb1="080E0000" w:usb2="00000000" w:usb3="00000000" w:csb0="00040000" w:csb1="00000000"/>
  </w:font>
  <w:font w:name="华文楷体">
    <w:altName w:val="宋体"/>
    <w:panose1 w:val="02010600040101010101"/>
    <w:charset w:val="86"/>
    <w:family w:val="auto"/>
    <w:pitch w:val="default"/>
    <w:sig w:usb0="00000000" w:usb1="00000000" w:usb2="00000010" w:usb3="00000000" w:csb0="0004009F" w:csb1="00000000"/>
  </w:font>
  <w:font w:name="微软雅黑">
    <w:panose1 w:val="020B0503020204020204"/>
    <w:charset w:val="86"/>
    <w:family w:val="swiss"/>
    <w:pitch w:val="default"/>
    <w:sig w:usb0="80000287" w:usb1="2ACF3C50" w:usb2="00000016" w:usb3="00000000" w:csb0="0004001F" w:csb1="00000000"/>
  </w:font>
  <w:font w:name="仿宋_GB2312">
    <w:panose1 w:val="02010609030101010101"/>
    <w:charset w:val="86"/>
    <w:family w:val="modern"/>
    <w:pitch w:val="default"/>
    <w:sig w:usb0="00000001" w:usb1="080E0000" w:usb2="00000000" w:usb3="00000000" w:csb0="0004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firstLine="0" w:firstLineChars="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3"/>
                            <w:ind w:firstLine="42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I</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VhjD8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FYYw/KwIAAFUEAAAOAAAAAAAAAAEAIAAAAB8BAABkcnMvZTJvRG9jLnhtbFBLBQYAAAAABgAG&#10;AFkBAAC8BQAAAAA=&#10;">
              <v:fill on="f" focussize="0,0"/>
              <v:stroke on="f" weight="0.5pt"/>
              <v:imagedata o:title=""/>
              <o:lock v:ext="edit" aspectratio="f"/>
              <v:textbox inset="0mm,0mm,0mm,0mm" style="mso-fit-shape-to-text:t;">
                <w:txbxContent>
                  <w:p>
                    <w:pPr>
                      <w:pStyle w:val="23"/>
                      <w:ind w:firstLine="42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I</w:t>
                    </w:r>
                    <w:r>
                      <w:rPr>
                        <w:sz w:val="21"/>
                        <w:szCs w:val="21"/>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firstLine="0" w:firstLineChars="0"/>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3"/>
                            <w:ind w:firstLine="42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I</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cMibgsAgAAV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FwyJuCwCAABVBAAADgAAAAAAAAABACAAAAAfAQAAZHJzL2Uyb0RvYy54bWxQSwUGAAAAAAYA&#10;BgBZAQAAvQUAAAAA&#10;">
              <v:fill on="f" focussize="0,0"/>
              <v:stroke on="f" weight="0.5pt"/>
              <v:imagedata o:title=""/>
              <o:lock v:ext="edit" aspectratio="f"/>
              <v:textbox inset="0mm,0mm,0mm,0mm" style="mso-fit-shape-to-text:t;">
                <w:txbxContent>
                  <w:p>
                    <w:pPr>
                      <w:pStyle w:val="23"/>
                      <w:ind w:firstLine="42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I</w:t>
                    </w:r>
                    <w:r>
                      <w:rPr>
                        <w:sz w:val="21"/>
                        <w:szCs w:val="21"/>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firstLine="360"/>
      <w:jc w:val="cente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170177076"/>
                          </w:sdtPr>
                          <w:sdtEndPr>
                            <w:rPr>
                              <w:rFonts w:cs="Times New Roman"/>
                            </w:rPr>
                          </w:sdtEndPr>
                          <w:sdtContent>
                            <w:p>
                              <w:pPr>
                                <w:pStyle w:val="23"/>
                                <w:spacing w:line="240" w:lineRule="auto"/>
                                <w:ind w:firstLine="0" w:firstLineChars="0"/>
                                <w:jc w:val="center"/>
                                <w:rPr>
                                  <w:rFonts w:cs="Times New Roman"/>
                                </w:rPr>
                              </w:pPr>
                              <w:r>
                                <w:rPr>
                                  <w:rFonts w:cs="Times New Roman"/>
                                </w:rPr>
                                <w:fldChar w:fldCharType="begin"/>
                              </w:r>
                              <w:r>
                                <w:rPr>
                                  <w:rFonts w:cs="Times New Roman"/>
                                </w:rPr>
                                <w:instrText xml:space="preserve">PAGE   \* MERGEFORMAT</w:instrText>
                              </w:r>
                              <w:r>
                                <w:rPr>
                                  <w:rFonts w:cs="Times New Roman"/>
                                </w:rPr>
                                <w:fldChar w:fldCharType="separate"/>
                              </w:r>
                              <w:r>
                                <w:rPr>
                                  <w:rFonts w:cs="Times New Roman"/>
                                  <w:lang w:val="zh-CN"/>
                                </w:rPr>
                                <w:t>2</w:t>
                              </w:r>
                              <w:r>
                                <w:rPr>
                                  <w:rFonts w:cs="Times New Roman"/>
                                </w:rPr>
                                <w:fldChar w:fldCharType="end"/>
                              </w:r>
                            </w:p>
                          </w:sdtContent>
                        </w:sdt>
                        <w:p>
                          <w:pPr>
                            <w:pStyle w:val="16"/>
                            <w:ind w:firstLine="56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pGcYw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RnGMKwIAAFcEAAAOAAAAAAAAAAEAIAAAAB8BAABkcnMvZTJvRG9jLnhtbFBLBQYAAAAABgAG&#10;AFkBAAC8BQAAAAA=&#10;">
              <v:fill on="f" focussize="0,0"/>
              <v:stroke on="f" weight="0.5pt"/>
              <v:imagedata o:title=""/>
              <o:lock v:ext="edit" aspectratio="f"/>
              <v:textbox inset="0mm,0mm,0mm,0mm" style="mso-fit-shape-to-text:t;">
                <w:txbxContent>
                  <w:sdt>
                    <w:sdtPr>
                      <w:id w:val="-1170177076"/>
                    </w:sdtPr>
                    <w:sdtEndPr>
                      <w:rPr>
                        <w:rFonts w:cs="Times New Roman"/>
                      </w:rPr>
                    </w:sdtEndPr>
                    <w:sdtContent>
                      <w:p>
                        <w:pPr>
                          <w:pStyle w:val="23"/>
                          <w:spacing w:line="240" w:lineRule="auto"/>
                          <w:ind w:firstLine="0" w:firstLineChars="0"/>
                          <w:jc w:val="center"/>
                          <w:rPr>
                            <w:rFonts w:cs="Times New Roman"/>
                          </w:rPr>
                        </w:pPr>
                        <w:r>
                          <w:rPr>
                            <w:rFonts w:cs="Times New Roman"/>
                          </w:rPr>
                          <w:fldChar w:fldCharType="begin"/>
                        </w:r>
                        <w:r>
                          <w:rPr>
                            <w:rFonts w:cs="Times New Roman"/>
                          </w:rPr>
                          <w:instrText xml:space="preserve">PAGE   \* MERGEFORMAT</w:instrText>
                        </w:r>
                        <w:r>
                          <w:rPr>
                            <w:rFonts w:cs="Times New Roman"/>
                          </w:rPr>
                          <w:fldChar w:fldCharType="separate"/>
                        </w:r>
                        <w:r>
                          <w:rPr>
                            <w:rFonts w:cs="Times New Roman"/>
                            <w:lang w:val="zh-CN"/>
                          </w:rPr>
                          <w:t>2</w:t>
                        </w:r>
                        <w:r>
                          <w:rPr>
                            <w:rFonts w:cs="Times New Roman"/>
                          </w:rPr>
                          <w:fldChar w:fldCharType="end"/>
                        </w:r>
                      </w:p>
                    </w:sdtContent>
                  </w:sdt>
                  <w:p>
                    <w:pPr>
                      <w:pStyle w:val="16"/>
                      <w:ind w:firstLine="560"/>
                    </w:pPr>
                  </w:p>
                </w:txbxContent>
              </v:textbox>
            </v:shape>
          </w:pict>
        </mc:Fallback>
      </mc:AlternateContent>
    </w:r>
  </w:p>
  <w:p>
    <w:pPr>
      <w:pStyle w:val="23"/>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560"/>
      </w:pPr>
      <w:r>
        <w:separator/>
      </w:r>
    </w:p>
  </w:footnote>
  <w:footnote w:type="continuationSeparator" w:id="1">
    <w:p>
      <w:pPr>
        <w:spacing w:line="36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Bdr>
        <w:bottom w:val="single" w:color="auto" w:sz="4" w:space="0"/>
      </w:pBdr>
      <w:spacing w:line="240" w:lineRule="auto"/>
      <w:ind w:firstLine="0" w:firstLineChars="0"/>
      <w:rPr>
        <w:rFonts w:cs="Times New Roman"/>
        <w:sz w:val="21"/>
        <w:szCs w:val="21"/>
      </w:rPr>
    </w:pPr>
    <w:r>
      <w:rPr>
        <w:rFonts w:cs="Times New Roman"/>
        <w:sz w:val="21"/>
        <w:szCs w:val="21"/>
      </w:rPr>
      <w:t>湖南石门仙阳湖国家湿地公园总体规划（202</w:t>
    </w:r>
    <w:r>
      <w:rPr>
        <w:rFonts w:hint="eastAsia" w:cs="Times New Roman"/>
        <w:sz w:val="21"/>
        <w:szCs w:val="21"/>
      </w:rPr>
      <w:t>3</w:t>
    </w:r>
    <w:r>
      <w:rPr>
        <w:rFonts w:cs="Times New Roman"/>
        <w:sz w:val="21"/>
        <w:szCs w:val="21"/>
      </w:rPr>
      <w:t>~2030年）</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46996D"/>
    <w:multiLevelType w:val="multilevel"/>
    <w:tmpl w:val="8446996D"/>
    <w:lvl w:ilvl="0" w:tentative="0">
      <w:start w:val="5"/>
      <w:numFmt w:val="decimal"/>
      <w:lvlText w:val="%1."/>
      <w:lvlJc w:val="left"/>
      <w:pPr>
        <w:ind w:left="425" w:hanging="425"/>
      </w:pPr>
      <w:rPr>
        <w:rFonts w:hint="default"/>
      </w:rPr>
    </w:lvl>
    <w:lvl w:ilvl="1" w:tentative="0">
      <w:start w:val="7"/>
      <w:numFmt w:val="decimal"/>
      <w:lvlText w:val="%1.%2."/>
      <w:lvlJc w:val="left"/>
      <w:pPr>
        <w:ind w:left="567" w:hanging="567"/>
      </w:pPr>
      <w:rPr>
        <w:rFonts w:hint="default" w:ascii="宋体" w:hAnsi="宋体" w:eastAsia="宋体" w:cs="宋体"/>
      </w:rPr>
    </w:lvl>
    <w:lvl w:ilvl="2" w:tentative="0">
      <w:start w:val="2"/>
      <w:numFmt w:val="decimal"/>
      <w:suff w:val="space"/>
      <w:lvlText w:val="%1.%2.%3"/>
      <w:lvlJc w:val="left"/>
      <w:pPr>
        <w:tabs>
          <w:tab w:val="left" w:pos="420"/>
        </w:tabs>
        <w:ind w:left="709" w:hanging="709"/>
      </w:pPr>
      <w:rPr>
        <w:rFonts w:hint="default" w:ascii="Times New Roman" w:hAnsi="Times New Roman" w:eastAsia="宋体" w:cs="Times New Roman"/>
        <w:sz w:val="28"/>
        <w:szCs w:val="28"/>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
    <w:nsid w:val="8AD815CB"/>
    <w:multiLevelType w:val="multilevel"/>
    <w:tmpl w:val="8AD815CB"/>
    <w:lvl w:ilvl="0" w:tentative="0">
      <w:start w:val="5"/>
      <w:numFmt w:val="decimal"/>
      <w:lvlText w:val="%1."/>
      <w:lvlJc w:val="left"/>
      <w:pPr>
        <w:ind w:left="425" w:hanging="425"/>
      </w:pPr>
      <w:rPr>
        <w:rFonts w:hint="default"/>
      </w:rPr>
    </w:lvl>
    <w:lvl w:ilvl="1" w:tentative="0">
      <w:start w:val="3"/>
      <w:numFmt w:val="decimal"/>
      <w:lvlText w:val="%1.%2."/>
      <w:lvlJc w:val="left"/>
      <w:pPr>
        <w:ind w:left="567" w:hanging="567"/>
      </w:pPr>
      <w:rPr>
        <w:rFonts w:hint="default" w:ascii="宋体" w:hAnsi="宋体" w:eastAsia="宋体" w:cs="宋体"/>
      </w:rPr>
    </w:lvl>
    <w:lvl w:ilvl="2" w:tentative="0">
      <w:start w:val="2"/>
      <w:numFmt w:val="decimal"/>
      <w:suff w:val="space"/>
      <w:lvlText w:val="%1.%2.%3"/>
      <w:lvlJc w:val="left"/>
      <w:pPr>
        <w:tabs>
          <w:tab w:val="left" w:pos="420"/>
        </w:tabs>
        <w:ind w:left="709" w:hanging="709"/>
      </w:pPr>
      <w:rPr>
        <w:rFonts w:hint="default" w:ascii="Times New Roman" w:hAnsi="Times New Roman" w:eastAsia="宋体" w:cs="Times New Roman"/>
        <w:sz w:val="28"/>
        <w:szCs w:val="28"/>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2">
    <w:nsid w:val="9348DB03"/>
    <w:multiLevelType w:val="multilevel"/>
    <w:tmpl w:val="9348DB03"/>
    <w:lvl w:ilvl="0" w:tentative="0">
      <w:start w:val="5"/>
      <w:numFmt w:val="decimal"/>
      <w:lvlText w:val="%1."/>
      <w:lvlJc w:val="left"/>
      <w:pPr>
        <w:ind w:left="425" w:hanging="425"/>
      </w:pPr>
      <w:rPr>
        <w:rFonts w:hint="default" w:ascii="宋体" w:hAnsi="宋体" w:eastAsia="宋体" w:cs="宋体"/>
      </w:rPr>
    </w:lvl>
    <w:lvl w:ilvl="1" w:tentative="0">
      <w:start w:val="3"/>
      <w:numFmt w:val="decimal"/>
      <w:lvlText w:val="%1.%2."/>
      <w:lvlJc w:val="left"/>
      <w:pPr>
        <w:ind w:left="567" w:hanging="567"/>
      </w:pPr>
      <w:rPr>
        <w:rFonts w:hint="default" w:ascii="宋体" w:hAnsi="宋体" w:eastAsia="宋体" w:cs="宋体"/>
      </w:rPr>
    </w:lvl>
    <w:lvl w:ilvl="2" w:tentative="0">
      <w:start w:val="4"/>
      <w:numFmt w:val="decimal"/>
      <w:suff w:val="space"/>
      <w:lvlText w:val="%1.%2.%3"/>
      <w:lvlJc w:val="left"/>
      <w:pPr>
        <w:tabs>
          <w:tab w:val="left" w:pos="420"/>
        </w:tabs>
        <w:ind w:left="709" w:hanging="709"/>
      </w:pPr>
      <w:rPr>
        <w:rFonts w:hint="default" w:ascii="Times New Roman" w:hAnsi="Times New Roman" w:eastAsia="宋体" w:cs="Times New Roman"/>
        <w:sz w:val="28"/>
        <w:szCs w:val="28"/>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ascii="宋体" w:hAnsi="宋体" w:eastAsia="宋体" w:cs="宋体"/>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3">
    <w:nsid w:val="946CC7DB"/>
    <w:multiLevelType w:val="singleLevel"/>
    <w:tmpl w:val="946CC7DB"/>
    <w:lvl w:ilvl="0" w:tentative="0">
      <w:start w:val="1"/>
      <w:numFmt w:val="decimal"/>
      <w:suff w:val="space"/>
      <w:lvlText w:val="%1."/>
      <w:lvlJc w:val="left"/>
    </w:lvl>
  </w:abstractNum>
  <w:abstractNum w:abstractNumId="4">
    <w:nsid w:val="AC6D85EE"/>
    <w:multiLevelType w:val="multilevel"/>
    <w:tmpl w:val="AC6D85EE"/>
    <w:lvl w:ilvl="0" w:tentative="0">
      <w:start w:val="5"/>
      <w:numFmt w:val="decimal"/>
      <w:lvlText w:val="%1."/>
      <w:lvlJc w:val="left"/>
      <w:pPr>
        <w:ind w:left="425" w:hanging="425"/>
      </w:pPr>
      <w:rPr>
        <w:rFonts w:hint="default"/>
      </w:rPr>
    </w:lvl>
    <w:lvl w:ilvl="1" w:tentative="0">
      <w:start w:val="5"/>
      <w:numFmt w:val="decimal"/>
      <w:lvlText w:val="%1.%2."/>
      <w:lvlJc w:val="left"/>
      <w:pPr>
        <w:ind w:left="567" w:hanging="567"/>
      </w:pPr>
      <w:rPr>
        <w:rFonts w:hint="default" w:ascii="宋体" w:hAnsi="宋体" w:eastAsia="宋体" w:cs="宋体"/>
      </w:rPr>
    </w:lvl>
    <w:lvl w:ilvl="2" w:tentative="0">
      <w:start w:val="2"/>
      <w:numFmt w:val="decimal"/>
      <w:suff w:val="space"/>
      <w:lvlText w:val="%1.%2.%3"/>
      <w:lvlJc w:val="left"/>
      <w:pPr>
        <w:tabs>
          <w:tab w:val="left" w:pos="420"/>
        </w:tabs>
        <w:ind w:left="709" w:hanging="709"/>
      </w:pPr>
      <w:rPr>
        <w:rFonts w:hint="default" w:ascii="Times New Roman" w:hAnsi="Times New Roman" w:eastAsia="宋体" w:cs="Times New Roman"/>
        <w:sz w:val="28"/>
        <w:szCs w:val="28"/>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5">
    <w:nsid w:val="ACB669C2"/>
    <w:multiLevelType w:val="multilevel"/>
    <w:tmpl w:val="ACB669C2"/>
    <w:lvl w:ilvl="0" w:tentative="0">
      <w:start w:val="5"/>
      <w:numFmt w:val="decimal"/>
      <w:lvlText w:val="%1."/>
      <w:lvlJc w:val="left"/>
      <w:pPr>
        <w:ind w:left="425" w:hanging="425"/>
      </w:pPr>
      <w:rPr>
        <w:rFonts w:hint="default"/>
      </w:rPr>
    </w:lvl>
    <w:lvl w:ilvl="1" w:tentative="0">
      <w:start w:val="5"/>
      <w:numFmt w:val="decimal"/>
      <w:lvlText w:val="%1.%2."/>
      <w:lvlJc w:val="left"/>
      <w:pPr>
        <w:ind w:left="567" w:hanging="567"/>
      </w:pPr>
      <w:rPr>
        <w:rFonts w:hint="default" w:ascii="宋体" w:hAnsi="宋体" w:eastAsia="宋体" w:cs="宋体"/>
      </w:rPr>
    </w:lvl>
    <w:lvl w:ilvl="2" w:tentative="0">
      <w:start w:val="3"/>
      <w:numFmt w:val="decimal"/>
      <w:suff w:val="space"/>
      <w:lvlText w:val="%1.%2.%3"/>
      <w:lvlJc w:val="left"/>
      <w:pPr>
        <w:tabs>
          <w:tab w:val="left" w:pos="420"/>
        </w:tabs>
        <w:ind w:left="709" w:hanging="709"/>
      </w:pPr>
      <w:rPr>
        <w:rFonts w:hint="default" w:ascii="Times New Roman" w:hAnsi="Times New Roman" w:eastAsia="宋体" w:cs="Times New Roman"/>
        <w:sz w:val="28"/>
        <w:szCs w:val="28"/>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6">
    <w:nsid w:val="BAD61799"/>
    <w:multiLevelType w:val="multilevel"/>
    <w:tmpl w:val="BAD61799"/>
    <w:lvl w:ilvl="0" w:tentative="0">
      <w:start w:val="5"/>
      <w:numFmt w:val="decimal"/>
      <w:lvlText w:val="%1."/>
      <w:lvlJc w:val="left"/>
      <w:pPr>
        <w:ind w:left="425" w:hanging="425"/>
      </w:pPr>
      <w:rPr>
        <w:rFonts w:hint="default" w:ascii="宋体" w:hAnsi="宋体" w:eastAsia="宋体" w:cs="宋体"/>
      </w:rPr>
    </w:lvl>
    <w:lvl w:ilvl="1" w:tentative="0">
      <w:start w:val="3"/>
      <w:numFmt w:val="decimal"/>
      <w:lvlText w:val="%1.%2."/>
      <w:lvlJc w:val="left"/>
      <w:pPr>
        <w:ind w:left="567" w:hanging="567"/>
      </w:pPr>
      <w:rPr>
        <w:rFonts w:hint="default" w:ascii="宋体" w:hAnsi="宋体" w:eastAsia="宋体" w:cs="宋体"/>
      </w:rPr>
    </w:lvl>
    <w:lvl w:ilvl="2" w:tentative="0">
      <w:start w:val="3"/>
      <w:numFmt w:val="decimal"/>
      <w:suff w:val="space"/>
      <w:lvlText w:val="%1.%2.%3"/>
      <w:lvlJc w:val="left"/>
      <w:pPr>
        <w:tabs>
          <w:tab w:val="left" w:pos="420"/>
        </w:tabs>
        <w:ind w:left="709" w:hanging="709"/>
      </w:pPr>
      <w:rPr>
        <w:rFonts w:hint="default" w:ascii="Times New Roman" w:hAnsi="Times New Roman" w:eastAsia="宋体" w:cs="Times New Roman"/>
        <w:sz w:val="28"/>
        <w:szCs w:val="28"/>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ascii="宋体" w:hAnsi="宋体" w:eastAsia="宋体" w:cs="宋体"/>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7">
    <w:nsid w:val="CDD96B0F"/>
    <w:multiLevelType w:val="singleLevel"/>
    <w:tmpl w:val="CDD96B0F"/>
    <w:lvl w:ilvl="0" w:tentative="0">
      <w:start w:val="1"/>
      <w:numFmt w:val="bullet"/>
      <w:suff w:val="nothing"/>
      <w:lvlText w:val=""/>
      <w:lvlJc w:val="left"/>
      <w:pPr>
        <w:tabs>
          <w:tab w:val="left" w:pos="0"/>
        </w:tabs>
        <w:ind w:left="420" w:hanging="420"/>
      </w:pPr>
      <w:rPr>
        <w:rFonts w:hint="default" w:ascii="Wingdings" w:hAnsi="Wingdings"/>
      </w:rPr>
    </w:lvl>
  </w:abstractNum>
  <w:abstractNum w:abstractNumId="8">
    <w:nsid w:val="D5FFD6F3"/>
    <w:multiLevelType w:val="multilevel"/>
    <w:tmpl w:val="D5FFD6F3"/>
    <w:lvl w:ilvl="0" w:tentative="0">
      <w:start w:val="5"/>
      <w:numFmt w:val="decimal"/>
      <w:lvlText w:val="%1."/>
      <w:lvlJc w:val="left"/>
      <w:pPr>
        <w:ind w:left="425" w:hanging="425"/>
      </w:pPr>
      <w:rPr>
        <w:rFonts w:hint="default"/>
      </w:rPr>
    </w:lvl>
    <w:lvl w:ilvl="1" w:tentative="0">
      <w:start w:val="6"/>
      <w:numFmt w:val="decimal"/>
      <w:suff w:val="space"/>
      <w:lvlText w:val="%1.%2"/>
      <w:lvlJc w:val="left"/>
      <w:pPr>
        <w:tabs>
          <w:tab w:val="left" w:pos="420"/>
        </w:tabs>
        <w:ind w:left="567" w:hanging="567"/>
      </w:pPr>
      <w:rPr>
        <w:rFonts w:hint="default" w:ascii="Times New Roman" w:hAnsi="Times New Roman" w:eastAsia="宋体" w:cs="Times New Roman"/>
        <w:sz w:val="30"/>
        <w:szCs w:val="30"/>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9">
    <w:nsid w:val="DBCB271D"/>
    <w:multiLevelType w:val="singleLevel"/>
    <w:tmpl w:val="DBCB271D"/>
    <w:lvl w:ilvl="0" w:tentative="0">
      <w:start w:val="1"/>
      <w:numFmt w:val="decimal"/>
      <w:suff w:val="space"/>
      <w:lvlText w:val="%1."/>
      <w:lvlJc w:val="left"/>
    </w:lvl>
  </w:abstractNum>
  <w:abstractNum w:abstractNumId="10">
    <w:nsid w:val="E7A419D6"/>
    <w:multiLevelType w:val="multilevel"/>
    <w:tmpl w:val="E7A419D6"/>
    <w:lvl w:ilvl="0" w:tentative="0">
      <w:start w:val="5"/>
      <w:numFmt w:val="decimal"/>
      <w:lvlText w:val="%1."/>
      <w:lvlJc w:val="left"/>
      <w:pPr>
        <w:ind w:left="425" w:hanging="425"/>
      </w:pPr>
      <w:rPr>
        <w:rFonts w:hint="default"/>
      </w:rPr>
    </w:lvl>
    <w:lvl w:ilvl="1" w:tentative="0">
      <w:start w:val="5"/>
      <w:numFmt w:val="decimal"/>
      <w:suff w:val="space"/>
      <w:lvlText w:val="%1.%2"/>
      <w:lvlJc w:val="left"/>
      <w:pPr>
        <w:tabs>
          <w:tab w:val="left" w:pos="0"/>
        </w:tabs>
        <w:ind w:left="567" w:hanging="567"/>
      </w:pPr>
      <w:rPr>
        <w:rFonts w:hint="default" w:ascii="宋体" w:hAnsi="宋体" w:eastAsia="宋体" w:cs="宋体"/>
        <w:sz w:val="30"/>
        <w:szCs w:val="30"/>
      </w:rPr>
    </w:lvl>
    <w:lvl w:ilvl="2" w:tentative="0">
      <w:start w:val="1"/>
      <w:numFmt w:val="decimal"/>
      <w:suff w:val="space"/>
      <w:lvlText w:val="%1.%2.%3"/>
      <w:lvlJc w:val="left"/>
      <w:pPr>
        <w:tabs>
          <w:tab w:val="left" w:pos="0"/>
        </w:tabs>
        <w:ind w:left="709" w:hanging="709"/>
      </w:pPr>
      <w:rPr>
        <w:rFonts w:hint="default" w:ascii="Times New Roman" w:hAnsi="Times New Roman" w:eastAsia="宋体" w:cs="Times New Roman"/>
        <w:sz w:val="28"/>
        <w:szCs w:val="28"/>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1">
    <w:nsid w:val="0043284E"/>
    <w:multiLevelType w:val="multilevel"/>
    <w:tmpl w:val="0043284E"/>
    <w:lvl w:ilvl="0" w:tentative="0">
      <w:start w:val="1"/>
      <w:numFmt w:val="decimal"/>
      <w:suff w:val="nothing"/>
      <w:lvlText w:val="（%1）"/>
      <w:lvlJc w:val="left"/>
      <w:pPr>
        <w:ind w:left="0" w:firstLine="561"/>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2">
    <w:nsid w:val="00BF5101"/>
    <w:multiLevelType w:val="multilevel"/>
    <w:tmpl w:val="00BF5101"/>
    <w:lvl w:ilvl="0" w:tentative="0">
      <w:start w:val="1"/>
      <w:numFmt w:val="decimal"/>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decimal"/>
      <w:suff w:val="nothing"/>
      <w:lvlText w:val="（%3）"/>
      <w:lvlJc w:val="left"/>
      <w:pPr>
        <w:ind w:left="0" w:firstLine="561"/>
      </w:pPr>
      <w:rPr>
        <w:rFonts w:hint="eastAsia"/>
      </w:r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3">
    <w:nsid w:val="00D64403"/>
    <w:multiLevelType w:val="multilevel"/>
    <w:tmpl w:val="00D64403"/>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01F94B2D"/>
    <w:multiLevelType w:val="multilevel"/>
    <w:tmpl w:val="01F94B2D"/>
    <w:lvl w:ilvl="0" w:tentative="0">
      <w:start w:val="1"/>
      <w:numFmt w:val="decimal"/>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decimal"/>
      <w:suff w:val="nothing"/>
      <w:lvlText w:val="（%3）"/>
      <w:lvlJc w:val="left"/>
      <w:pPr>
        <w:ind w:left="0" w:firstLine="560"/>
      </w:pPr>
      <w:rPr>
        <w:rFonts w:hint="eastAsia"/>
      </w:r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5">
    <w:nsid w:val="05F38287"/>
    <w:multiLevelType w:val="singleLevel"/>
    <w:tmpl w:val="05F38287"/>
    <w:lvl w:ilvl="0" w:tentative="0">
      <w:start w:val="1"/>
      <w:numFmt w:val="decimal"/>
      <w:suff w:val="nothing"/>
      <w:lvlText w:val="（%1）"/>
      <w:lvlJc w:val="left"/>
    </w:lvl>
  </w:abstractNum>
  <w:abstractNum w:abstractNumId="16">
    <w:nsid w:val="07E33511"/>
    <w:multiLevelType w:val="multilevel"/>
    <w:tmpl w:val="07E33511"/>
    <w:lvl w:ilvl="0" w:tentative="0">
      <w:start w:val="1"/>
      <w:numFmt w:val="decimal"/>
      <w:suff w:val="nothing"/>
      <w:lvlText w:val="（%1）"/>
      <w:lvlJc w:val="left"/>
      <w:pPr>
        <w:ind w:left="0" w:firstLine="56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7">
    <w:nsid w:val="096A48E1"/>
    <w:multiLevelType w:val="multilevel"/>
    <w:tmpl w:val="096A48E1"/>
    <w:lvl w:ilvl="0" w:tentative="0">
      <w:start w:val="1"/>
      <w:numFmt w:val="decimal"/>
      <w:suff w:val="nothing"/>
      <w:lvlText w:val="（%1）"/>
      <w:lvlJc w:val="left"/>
      <w:pPr>
        <w:ind w:left="0" w:firstLine="561"/>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8">
    <w:nsid w:val="09A35DD9"/>
    <w:multiLevelType w:val="multilevel"/>
    <w:tmpl w:val="09A35DD9"/>
    <w:lvl w:ilvl="0" w:tentative="0">
      <w:start w:val="1"/>
      <w:numFmt w:val="decimal"/>
      <w:suff w:val="nothing"/>
      <w:lvlText w:val="（%1）"/>
      <w:lvlJc w:val="left"/>
      <w:pPr>
        <w:ind w:left="0" w:firstLine="56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9">
    <w:nsid w:val="0AC34F2A"/>
    <w:multiLevelType w:val="multilevel"/>
    <w:tmpl w:val="0AC34F2A"/>
    <w:lvl w:ilvl="0" w:tentative="0">
      <w:start w:val="5"/>
      <w:numFmt w:val="decimal"/>
      <w:lvlText w:val="%1."/>
      <w:lvlJc w:val="left"/>
      <w:pPr>
        <w:ind w:left="425" w:hanging="425"/>
      </w:pPr>
      <w:rPr>
        <w:rFonts w:hint="default"/>
      </w:rPr>
    </w:lvl>
    <w:lvl w:ilvl="1" w:tentative="0">
      <w:start w:val="5"/>
      <w:numFmt w:val="decimal"/>
      <w:lvlText w:val="%1.%2."/>
      <w:lvlJc w:val="left"/>
      <w:pPr>
        <w:ind w:left="567" w:hanging="567"/>
      </w:pPr>
      <w:rPr>
        <w:rFonts w:hint="default" w:ascii="宋体" w:hAnsi="宋体" w:eastAsia="宋体" w:cs="宋体"/>
      </w:rPr>
    </w:lvl>
    <w:lvl w:ilvl="2" w:tentative="0">
      <w:start w:val="4"/>
      <w:numFmt w:val="decimal"/>
      <w:suff w:val="space"/>
      <w:lvlText w:val="%1.%2.%3"/>
      <w:lvlJc w:val="left"/>
      <w:pPr>
        <w:tabs>
          <w:tab w:val="left" w:pos="420"/>
        </w:tabs>
        <w:ind w:left="709" w:hanging="709"/>
      </w:pPr>
      <w:rPr>
        <w:rFonts w:hint="default" w:ascii="Times New Roman" w:hAnsi="Times New Roman" w:eastAsia="宋体" w:cs="Times New Roman"/>
        <w:sz w:val="28"/>
        <w:szCs w:val="28"/>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20">
    <w:nsid w:val="0AFB7E9E"/>
    <w:multiLevelType w:val="multilevel"/>
    <w:tmpl w:val="0AFB7E9E"/>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105D2CEE"/>
    <w:multiLevelType w:val="singleLevel"/>
    <w:tmpl w:val="105D2CEE"/>
    <w:lvl w:ilvl="0" w:tentative="0">
      <w:start w:val="1"/>
      <w:numFmt w:val="decimal"/>
      <w:suff w:val="nothing"/>
      <w:lvlText w:val="（%1）"/>
      <w:lvlJc w:val="left"/>
    </w:lvl>
  </w:abstractNum>
  <w:abstractNum w:abstractNumId="22">
    <w:nsid w:val="1BA23EC3"/>
    <w:multiLevelType w:val="multilevel"/>
    <w:tmpl w:val="1BA23EC3"/>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1FE848FC"/>
    <w:multiLevelType w:val="multilevel"/>
    <w:tmpl w:val="1FE848FC"/>
    <w:lvl w:ilvl="0" w:tentative="0">
      <w:start w:val="1"/>
      <w:numFmt w:val="decimal"/>
      <w:suff w:val="nothing"/>
      <w:lvlText w:val="（%1）"/>
      <w:lvlJc w:val="left"/>
      <w:pPr>
        <w:ind w:left="0" w:firstLine="56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4">
    <w:nsid w:val="28034378"/>
    <w:multiLevelType w:val="multilevel"/>
    <w:tmpl w:val="28034378"/>
    <w:lvl w:ilvl="0" w:tentative="0">
      <w:start w:val="1"/>
      <w:numFmt w:val="decimal"/>
      <w:suff w:val="nothing"/>
      <w:lvlText w:val="（%1）"/>
      <w:lvlJc w:val="left"/>
      <w:pPr>
        <w:ind w:left="0" w:firstLine="56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5">
    <w:nsid w:val="2DA37D66"/>
    <w:multiLevelType w:val="multilevel"/>
    <w:tmpl w:val="2DA37D66"/>
    <w:lvl w:ilvl="0" w:tentative="0">
      <w:start w:val="1"/>
      <w:numFmt w:val="decimal"/>
      <w:suff w:val="nothing"/>
      <w:lvlText w:val="（%1）"/>
      <w:lvlJc w:val="left"/>
      <w:pPr>
        <w:ind w:left="0" w:firstLine="56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6">
    <w:nsid w:val="2EAA6839"/>
    <w:multiLevelType w:val="multilevel"/>
    <w:tmpl w:val="2EAA6839"/>
    <w:lvl w:ilvl="0" w:tentative="0">
      <w:start w:val="1"/>
      <w:numFmt w:val="decimal"/>
      <w:suff w:val="nothing"/>
      <w:lvlText w:val="（%1）"/>
      <w:lvlJc w:val="left"/>
      <w:pPr>
        <w:ind w:left="0" w:firstLine="56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7">
    <w:nsid w:val="2ED611C6"/>
    <w:multiLevelType w:val="multilevel"/>
    <w:tmpl w:val="2ED611C6"/>
    <w:lvl w:ilvl="0" w:tentative="0">
      <w:start w:val="1"/>
      <w:numFmt w:val="decimal"/>
      <w:suff w:val="nothing"/>
      <w:lvlText w:val="（%1）"/>
      <w:lvlJc w:val="left"/>
      <w:pPr>
        <w:ind w:left="0" w:firstLine="56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8">
    <w:nsid w:val="377F0C10"/>
    <w:multiLevelType w:val="multilevel"/>
    <w:tmpl w:val="377F0C10"/>
    <w:lvl w:ilvl="0" w:tentative="0">
      <w:start w:val="5"/>
      <w:numFmt w:val="decimal"/>
      <w:lvlText w:val="%1."/>
      <w:lvlJc w:val="left"/>
      <w:pPr>
        <w:ind w:left="425" w:hanging="425"/>
      </w:pPr>
      <w:rPr>
        <w:rFonts w:hint="default"/>
      </w:rPr>
    </w:lvl>
    <w:lvl w:ilvl="1" w:tentative="0">
      <w:start w:val="7"/>
      <w:numFmt w:val="decimal"/>
      <w:suff w:val="space"/>
      <w:lvlText w:val="%1.%2"/>
      <w:lvlJc w:val="left"/>
      <w:pPr>
        <w:tabs>
          <w:tab w:val="left" w:pos="420"/>
        </w:tabs>
        <w:ind w:left="567" w:hanging="567"/>
      </w:pPr>
      <w:rPr>
        <w:rFonts w:hint="default" w:ascii="Times New Roman" w:hAnsi="Times New Roman" w:eastAsia="宋体" w:cs="Times New Roman"/>
        <w:sz w:val="30"/>
        <w:szCs w:val="30"/>
      </w:rPr>
    </w:lvl>
    <w:lvl w:ilvl="2" w:tentative="0">
      <w:start w:val="1"/>
      <w:numFmt w:val="decimal"/>
      <w:suff w:val="space"/>
      <w:lvlText w:val="%1.%2.%3"/>
      <w:lvlJc w:val="left"/>
      <w:pPr>
        <w:tabs>
          <w:tab w:val="left" w:pos="420"/>
        </w:tabs>
        <w:ind w:left="709" w:hanging="709"/>
      </w:pPr>
      <w:rPr>
        <w:rFonts w:hint="default" w:ascii="Times New Roman" w:hAnsi="Times New Roman" w:eastAsia="宋体" w:cs="Times New Roman"/>
        <w:sz w:val="28"/>
        <w:szCs w:val="28"/>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29">
    <w:nsid w:val="389E53EB"/>
    <w:multiLevelType w:val="multilevel"/>
    <w:tmpl w:val="389E53EB"/>
    <w:lvl w:ilvl="0" w:tentative="0">
      <w:start w:val="1"/>
      <w:numFmt w:val="decimal"/>
      <w:suff w:val="nothing"/>
      <w:lvlText w:val="（%1）"/>
      <w:lvlJc w:val="left"/>
      <w:pPr>
        <w:ind w:left="0" w:firstLine="560"/>
      </w:pPr>
      <w:rPr>
        <w:rFonts w:hint="eastAsia"/>
        <w:lang w:val="en-US"/>
      </w:rPr>
    </w:lvl>
    <w:lvl w:ilvl="1" w:tentative="0">
      <w:start w:val="1"/>
      <w:numFmt w:val="lowerLetter"/>
      <w:lvlText w:val="%2)"/>
      <w:lvlJc w:val="left"/>
      <w:pPr>
        <w:ind w:left="1440" w:hanging="440"/>
      </w:p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abstractNum w:abstractNumId="30">
    <w:nsid w:val="39582FCD"/>
    <w:multiLevelType w:val="multilevel"/>
    <w:tmpl w:val="39582FCD"/>
    <w:lvl w:ilvl="0" w:tentative="0">
      <w:start w:val="1"/>
      <w:numFmt w:val="decimal"/>
      <w:suff w:val="nothing"/>
      <w:lvlText w:val="（%1）"/>
      <w:lvlJc w:val="left"/>
      <w:pPr>
        <w:ind w:left="0" w:firstLine="56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1">
    <w:nsid w:val="3CA2B2B8"/>
    <w:multiLevelType w:val="singleLevel"/>
    <w:tmpl w:val="3CA2B2B8"/>
    <w:lvl w:ilvl="0" w:tentative="0">
      <w:start w:val="1"/>
      <w:numFmt w:val="decimal"/>
      <w:suff w:val="nothing"/>
      <w:lvlText w:val="（%1）"/>
      <w:lvlJc w:val="left"/>
    </w:lvl>
  </w:abstractNum>
  <w:abstractNum w:abstractNumId="32">
    <w:nsid w:val="3E1F6682"/>
    <w:multiLevelType w:val="multilevel"/>
    <w:tmpl w:val="3E1F6682"/>
    <w:lvl w:ilvl="0" w:tentative="0">
      <w:start w:val="1"/>
      <w:numFmt w:val="decimal"/>
      <w:suff w:val="nothing"/>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3">
    <w:nsid w:val="42654E88"/>
    <w:multiLevelType w:val="multilevel"/>
    <w:tmpl w:val="42654E88"/>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4">
    <w:nsid w:val="462C55AC"/>
    <w:multiLevelType w:val="multilevel"/>
    <w:tmpl w:val="462C55AC"/>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5">
    <w:nsid w:val="46461EE3"/>
    <w:multiLevelType w:val="multilevel"/>
    <w:tmpl w:val="46461EE3"/>
    <w:lvl w:ilvl="0" w:tentative="0">
      <w:start w:val="1"/>
      <w:numFmt w:val="decimal"/>
      <w:suff w:val="nothing"/>
      <w:lvlText w:val="（%1）"/>
      <w:lvlJc w:val="left"/>
      <w:pPr>
        <w:ind w:left="0" w:firstLine="56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6">
    <w:nsid w:val="4744C18A"/>
    <w:multiLevelType w:val="multilevel"/>
    <w:tmpl w:val="4744C18A"/>
    <w:lvl w:ilvl="0" w:tentative="0">
      <w:start w:val="5"/>
      <w:numFmt w:val="decimal"/>
      <w:lvlText w:val="%1."/>
      <w:lvlJc w:val="left"/>
      <w:pPr>
        <w:ind w:left="425" w:hanging="425"/>
      </w:pPr>
      <w:rPr>
        <w:rFonts w:hint="default"/>
      </w:rPr>
    </w:lvl>
    <w:lvl w:ilvl="1" w:tentative="0">
      <w:start w:val="4"/>
      <w:numFmt w:val="decimal"/>
      <w:suff w:val="space"/>
      <w:lvlText w:val="%1.%2"/>
      <w:lvlJc w:val="left"/>
      <w:pPr>
        <w:tabs>
          <w:tab w:val="left" w:pos="420"/>
        </w:tabs>
        <w:ind w:left="567" w:hanging="567"/>
      </w:pPr>
      <w:rPr>
        <w:rFonts w:hint="default" w:ascii="Times New Roman" w:hAnsi="Times New Roman" w:eastAsia="宋体" w:cs="Times New Roman"/>
        <w:sz w:val="30"/>
        <w:szCs w:val="30"/>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37">
    <w:nsid w:val="48C563BA"/>
    <w:multiLevelType w:val="multilevel"/>
    <w:tmpl w:val="48C563BA"/>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8">
    <w:nsid w:val="4C2B4BEE"/>
    <w:multiLevelType w:val="multilevel"/>
    <w:tmpl w:val="4C2B4BEE"/>
    <w:lvl w:ilvl="0" w:tentative="0">
      <w:start w:val="1"/>
      <w:numFmt w:val="decimal"/>
      <w:suff w:val="nothing"/>
      <w:lvlText w:val="（%1）"/>
      <w:lvlJc w:val="left"/>
      <w:pPr>
        <w:ind w:left="0" w:firstLine="56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9">
    <w:nsid w:val="4C633D26"/>
    <w:multiLevelType w:val="multilevel"/>
    <w:tmpl w:val="4C633D26"/>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0">
    <w:nsid w:val="4E1D6415"/>
    <w:multiLevelType w:val="multilevel"/>
    <w:tmpl w:val="4E1D6415"/>
    <w:lvl w:ilvl="0" w:tentative="0">
      <w:start w:val="1"/>
      <w:numFmt w:val="decimal"/>
      <w:suff w:val="nothing"/>
      <w:lvlText w:val="（%1）"/>
      <w:lvlJc w:val="left"/>
      <w:pPr>
        <w:ind w:left="0" w:firstLine="56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1">
    <w:nsid w:val="4FF702E5"/>
    <w:multiLevelType w:val="multilevel"/>
    <w:tmpl w:val="4FF702E5"/>
    <w:lvl w:ilvl="0" w:tentative="0">
      <w:start w:val="1"/>
      <w:numFmt w:val="decimal"/>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decimal"/>
      <w:suff w:val="nothing"/>
      <w:lvlText w:val="（%3）"/>
      <w:lvlJc w:val="left"/>
      <w:pPr>
        <w:ind w:left="0" w:firstLine="560"/>
      </w:pPr>
      <w:rPr>
        <w:rFonts w:hint="eastAsia"/>
      </w:r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2">
    <w:nsid w:val="50837126"/>
    <w:multiLevelType w:val="multilevel"/>
    <w:tmpl w:val="50837126"/>
    <w:lvl w:ilvl="0" w:tentative="0">
      <w:start w:val="1"/>
      <w:numFmt w:val="decimal"/>
      <w:suff w:val="nothing"/>
      <w:lvlText w:val="（%1）"/>
      <w:lvlJc w:val="left"/>
      <w:pPr>
        <w:ind w:left="0" w:firstLine="560"/>
      </w:pPr>
      <w:rPr>
        <w:rFonts w:hint="default" w:ascii="Times New Roman" w:hAnsi="Times New Roman" w:cs="Times New Roman"/>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3">
    <w:nsid w:val="54504254"/>
    <w:multiLevelType w:val="multilevel"/>
    <w:tmpl w:val="54504254"/>
    <w:lvl w:ilvl="0" w:tentative="0">
      <w:start w:val="1"/>
      <w:numFmt w:val="decimal"/>
      <w:suff w:val="nothing"/>
      <w:lvlText w:val="（%1）"/>
      <w:lvlJc w:val="left"/>
      <w:pPr>
        <w:ind w:left="0" w:firstLine="56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4">
    <w:nsid w:val="550C6BE3"/>
    <w:multiLevelType w:val="multilevel"/>
    <w:tmpl w:val="550C6BE3"/>
    <w:lvl w:ilvl="0" w:tentative="0">
      <w:start w:val="1"/>
      <w:numFmt w:val="decimal"/>
      <w:suff w:val="nothing"/>
      <w:lvlText w:val="（%1）"/>
      <w:lvlJc w:val="left"/>
      <w:pPr>
        <w:ind w:left="0" w:firstLine="56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5">
    <w:nsid w:val="56B22A6F"/>
    <w:multiLevelType w:val="multilevel"/>
    <w:tmpl w:val="56B22A6F"/>
    <w:lvl w:ilvl="0" w:tentative="0">
      <w:start w:val="1"/>
      <w:numFmt w:val="decimal"/>
      <w:suff w:val="nothing"/>
      <w:lvlText w:val="（%1）"/>
      <w:lvlJc w:val="left"/>
      <w:pPr>
        <w:ind w:left="0" w:firstLine="561"/>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6">
    <w:nsid w:val="57FE6FE4"/>
    <w:multiLevelType w:val="multilevel"/>
    <w:tmpl w:val="57FE6FE4"/>
    <w:lvl w:ilvl="0" w:tentative="0">
      <w:start w:val="1"/>
      <w:numFmt w:val="decimal"/>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decimal"/>
      <w:suff w:val="nothing"/>
      <w:lvlText w:val="（%3）"/>
      <w:lvlJc w:val="left"/>
      <w:pPr>
        <w:ind w:left="0" w:firstLine="560"/>
      </w:pPr>
      <w:rPr>
        <w:rFonts w:hint="eastAsia"/>
      </w:r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7">
    <w:nsid w:val="598D5B6C"/>
    <w:multiLevelType w:val="multilevel"/>
    <w:tmpl w:val="598D5B6C"/>
    <w:lvl w:ilvl="0" w:tentative="0">
      <w:start w:val="5"/>
      <w:numFmt w:val="decimal"/>
      <w:lvlText w:val="%1."/>
      <w:lvlJc w:val="left"/>
      <w:pPr>
        <w:ind w:left="425" w:hanging="425"/>
      </w:pPr>
      <w:rPr>
        <w:rFonts w:hint="default"/>
      </w:rPr>
    </w:lvl>
    <w:lvl w:ilvl="1" w:tentative="0">
      <w:start w:val="3"/>
      <w:numFmt w:val="decimal"/>
      <w:lvlText w:val="%1.%2."/>
      <w:lvlJc w:val="left"/>
      <w:pPr>
        <w:ind w:left="567" w:hanging="567"/>
      </w:pPr>
      <w:rPr>
        <w:rFonts w:hint="default" w:ascii="宋体" w:hAnsi="宋体" w:eastAsia="宋体" w:cs="宋体"/>
      </w:rPr>
    </w:lvl>
    <w:lvl w:ilvl="2" w:tentative="0">
      <w:start w:val="1"/>
      <w:numFmt w:val="decimal"/>
      <w:suff w:val="space"/>
      <w:lvlText w:val="%1.%2.%3"/>
      <w:lvlJc w:val="left"/>
      <w:pPr>
        <w:tabs>
          <w:tab w:val="left" w:pos="420"/>
        </w:tabs>
        <w:ind w:left="709" w:hanging="709"/>
      </w:pPr>
      <w:rPr>
        <w:rFonts w:hint="default" w:ascii="Times New Roman" w:hAnsi="Times New Roman" w:eastAsia="宋体" w:cs="Times New Roman"/>
        <w:b w:val="0"/>
        <w:bCs w:val="0"/>
        <w:sz w:val="28"/>
        <w:szCs w:val="28"/>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48">
    <w:nsid w:val="5EE07C83"/>
    <w:multiLevelType w:val="multilevel"/>
    <w:tmpl w:val="5EE07C83"/>
    <w:lvl w:ilvl="0" w:tentative="0">
      <w:start w:val="1"/>
      <w:numFmt w:val="decimal"/>
      <w:suff w:val="nothing"/>
      <w:lvlText w:val="（%1）"/>
      <w:lvlJc w:val="left"/>
      <w:pPr>
        <w:ind w:left="0" w:firstLine="56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9">
    <w:nsid w:val="5FBB5EF6"/>
    <w:multiLevelType w:val="singleLevel"/>
    <w:tmpl w:val="5FBB5EF6"/>
    <w:lvl w:ilvl="0" w:tentative="0">
      <w:start w:val="3"/>
      <w:numFmt w:val="decimal"/>
      <w:suff w:val="space"/>
      <w:lvlText w:val="%1."/>
      <w:lvlJc w:val="left"/>
    </w:lvl>
  </w:abstractNum>
  <w:abstractNum w:abstractNumId="50">
    <w:nsid w:val="605D1ADF"/>
    <w:multiLevelType w:val="multilevel"/>
    <w:tmpl w:val="605D1ADF"/>
    <w:lvl w:ilvl="0" w:tentative="0">
      <w:start w:val="1"/>
      <w:numFmt w:val="decimal"/>
      <w:suff w:val="nothing"/>
      <w:lvlText w:val="（%1）"/>
      <w:lvlJc w:val="left"/>
      <w:pPr>
        <w:ind w:left="980" w:hanging="58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1">
    <w:nsid w:val="61A255ED"/>
    <w:multiLevelType w:val="multilevel"/>
    <w:tmpl w:val="61A255ED"/>
    <w:lvl w:ilvl="0" w:tentative="0">
      <w:start w:val="1"/>
      <w:numFmt w:val="decimal"/>
      <w:suff w:val="nothing"/>
      <w:lvlText w:val="（%1）"/>
      <w:lvlJc w:val="left"/>
      <w:pPr>
        <w:ind w:left="0" w:firstLine="560"/>
      </w:pPr>
      <w:rPr>
        <w:rFonts w:hint="eastAsia"/>
        <w:lang w:val="en-US"/>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2">
    <w:nsid w:val="639B7EA7"/>
    <w:multiLevelType w:val="multilevel"/>
    <w:tmpl w:val="639B7EA7"/>
    <w:lvl w:ilvl="0" w:tentative="0">
      <w:start w:val="1"/>
      <w:numFmt w:val="decimal"/>
      <w:suff w:val="nothing"/>
      <w:lvlText w:val="（%1）"/>
      <w:lvlJc w:val="left"/>
      <w:pPr>
        <w:ind w:left="0" w:firstLine="56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3">
    <w:nsid w:val="695C4B76"/>
    <w:multiLevelType w:val="multilevel"/>
    <w:tmpl w:val="695C4B76"/>
    <w:lvl w:ilvl="0" w:tentative="0">
      <w:start w:val="1"/>
      <w:numFmt w:val="decimal"/>
      <w:suff w:val="nothing"/>
      <w:lvlText w:val="（%1）"/>
      <w:lvlJc w:val="left"/>
      <w:pPr>
        <w:ind w:left="0" w:firstLine="56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4">
    <w:nsid w:val="6B3E785C"/>
    <w:multiLevelType w:val="multilevel"/>
    <w:tmpl w:val="6B3E785C"/>
    <w:lvl w:ilvl="0" w:tentative="0">
      <w:start w:val="1"/>
      <w:numFmt w:val="decimal"/>
      <w:suff w:val="nothing"/>
      <w:lvlText w:val="（%1）"/>
      <w:lvlJc w:val="left"/>
      <w:pPr>
        <w:ind w:left="0" w:firstLine="56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5">
    <w:nsid w:val="6C72237E"/>
    <w:multiLevelType w:val="multilevel"/>
    <w:tmpl w:val="6C72237E"/>
    <w:lvl w:ilvl="0" w:tentative="0">
      <w:start w:val="1"/>
      <w:numFmt w:val="decimal"/>
      <w:suff w:val="nothing"/>
      <w:lvlText w:val="（%1）"/>
      <w:lvlJc w:val="left"/>
      <w:pPr>
        <w:ind w:left="0" w:firstLine="56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6">
    <w:nsid w:val="6F0011BA"/>
    <w:multiLevelType w:val="multilevel"/>
    <w:tmpl w:val="6F0011BA"/>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7">
    <w:nsid w:val="6F628FBF"/>
    <w:multiLevelType w:val="multilevel"/>
    <w:tmpl w:val="6F628FBF"/>
    <w:lvl w:ilvl="0" w:tentative="0">
      <w:start w:val="1"/>
      <w:numFmt w:val="decimal"/>
      <w:pStyle w:val="4"/>
      <w:suff w:val="nothing"/>
      <w:lvlText w:val="第%1章 "/>
      <w:lvlJc w:val="center"/>
      <w:pPr>
        <w:ind w:left="432" w:hanging="144"/>
      </w:pPr>
      <w:rPr>
        <w:rFonts w:hint="default" w:ascii="Times New Roman" w:hAnsi="Times New Roman" w:eastAsia="黑体"/>
      </w:rPr>
    </w:lvl>
    <w:lvl w:ilvl="1" w:tentative="0">
      <w:start w:val="1"/>
      <w:numFmt w:val="decimal"/>
      <w:pStyle w:val="5"/>
      <w:isLgl/>
      <w:suff w:val="space"/>
      <w:lvlText w:val="%1.%2"/>
      <w:lvlJc w:val="left"/>
      <w:pPr>
        <w:ind w:left="0" w:firstLine="0"/>
      </w:pPr>
      <w:rPr>
        <w:rFonts w:hint="default" w:ascii="Times New Roman" w:hAnsi="Times New Roman" w:eastAsia="黑体" w:cs="宋体"/>
        <w:sz w:val="30"/>
        <w:szCs w:val="30"/>
      </w:rPr>
    </w:lvl>
    <w:lvl w:ilvl="2" w:tentative="0">
      <w:start w:val="1"/>
      <w:numFmt w:val="decimal"/>
      <w:pStyle w:val="6"/>
      <w:suff w:val="space"/>
      <w:lvlText w:val="%1.%2.%3"/>
      <w:lvlJc w:val="left"/>
      <w:pPr>
        <w:ind w:left="0" w:firstLine="0"/>
      </w:pPr>
      <w:rPr>
        <w:rFonts w:hint="default" w:ascii="Times New Roman" w:hAnsi="Times New Roman" w:eastAsia="黑体" w:cs="宋体"/>
        <w:sz w:val="28"/>
        <w:szCs w:val="28"/>
      </w:rPr>
    </w:lvl>
    <w:lvl w:ilvl="3" w:tentative="0">
      <w:start w:val="1"/>
      <w:numFmt w:val="decimal"/>
      <w:pStyle w:val="7"/>
      <w:isLgl/>
      <w:lvlText w:val="%1.%2.%3.%4."/>
      <w:lvlJc w:val="left"/>
      <w:pPr>
        <w:ind w:left="0" w:firstLine="0"/>
      </w:pPr>
      <w:rPr>
        <w:rFonts w:hint="eastAsia"/>
      </w:rPr>
    </w:lvl>
    <w:lvl w:ilvl="4" w:tentative="0">
      <w:start w:val="1"/>
      <w:numFmt w:val="decimal"/>
      <w:pStyle w:val="8"/>
      <w:isLgl/>
      <w:lvlText w:val="%1.%2.%3.%4.%5."/>
      <w:lvlJc w:val="left"/>
      <w:pPr>
        <w:ind w:left="1008" w:hanging="1008"/>
      </w:pPr>
      <w:rPr>
        <w:rFonts w:hint="eastAsia"/>
      </w:rPr>
    </w:lvl>
    <w:lvl w:ilvl="5" w:tentative="0">
      <w:start w:val="1"/>
      <w:numFmt w:val="decimal"/>
      <w:pStyle w:val="9"/>
      <w:isLgl/>
      <w:lvlText w:val="%1.%2.%3.%4.%5.%6."/>
      <w:lvlJc w:val="left"/>
      <w:pPr>
        <w:ind w:left="1151" w:hanging="1151"/>
      </w:pPr>
      <w:rPr>
        <w:rFonts w:hint="eastAsia"/>
      </w:rPr>
    </w:lvl>
    <w:lvl w:ilvl="6" w:tentative="0">
      <w:start w:val="1"/>
      <w:numFmt w:val="decimal"/>
      <w:pStyle w:val="10"/>
      <w:isLgl/>
      <w:lvlText w:val="%1.%2.%3.%4.%5.%6.%7."/>
      <w:lvlJc w:val="left"/>
      <w:pPr>
        <w:ind w:left="1296" w:hanging="1296"/>
      </w:pPr>
      <w:rPr>
        <w:rFonts w:hint="eastAsia"/>
      </w:rPr>
    </w:lvl>
    <w:lvl w:ilvl="7" w:tentative="0">
      <w:start w:val="1"/>
      <w:numFmt w:val="decimal"/>
      <w:pStyle w:val="11"/>
      <w:isLgl/>
      <w:lvlText w:val="%1.%2.%3.%4.%5.%6.%7.%8."/>
      <w:lvlJc w:val="left"/>
      <w:pPr>
        <w:ind w:left="1440" w:hanging="1440"/>
      </w:pPr>
      <w:rPr>
        <w:rFonts w:hint="eastAsia"/>
      </w:rPr>
    </w:lvl>
    <w:lvl w:ilvl="8" w:tentative="0">
      <w:start w:val="1"/>
      <w:numFmt w:val="decimal"/>
      <w:pStyle w:val="12"/>
      <w:isLgl/>
      <w:lvlText w:val="%1.%2.%3.%4.%5.%6.%7.%8.%9."/>
      <w:lvlJc w:val="left"/>
      <w:pPr>
        <w:ind w:left="1583" w:hanging="1583"/>
      </w:pPr>
      <w:rPr>
        <w:rFonts w:hint="eastAsia"/>
      </w:rPr>
    </w:lvl>
  </w:abstractNum>
  <w:abstractNum w:abstractNumId="58">
    <w:nsid w:val="6FC46F29"/>
    <w:multiLevelType w:val="multilevel"/>
    <w:tmpl w:val="6FC46F29"/>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9">
    <w:nsid w:val="760EEB05"/>
    <w:multiLevelType w:val="multilevel"/>
    <w:tmpl w:val="760EEB05"/>
    <w:lvl w:ilvl="0" w:tentative="0">
      <w:start w:val="5"/>
      <w:numFmt w:val="decimal"/>
      <w:lvlText w:val="%1."/>
      <w:lvlJc w:val="left"/>
      <w:pPr>
        <w:ind w:left="425" w:hanging="425"/>
      </w:pPr>
      <w:rPr>
        <w:rFonts w:hint="default"/>
      </w:rPr>
    </w:lvl>
    <w:lvl w:ilvl="1" w:tentative="0">
      <w:start w:val="5"/>
      <w:numFmt w:val="decimal"/>
      <w:suff w:val="space"/>
      <w:lvlText w:val="%1.%2"/>
      <w:lvlJc w:val="left"/>
      <w:pPr>
        <w:tabs>
          <w:tab w:val="left" w:pos="0"/>
        </w:tabs>
        <w:ind w:left="567" w:hanging="567"/>
      </w:pPr>
      <w:rPr>
        <w:rFonts w:hint="default" w:ascii="Times New Roman" w:hAnsi="Times New Roman" w:eastAsia="宋体" w:cs="Times New Roman"/>
        <w:sz w:val="30"/>
        <w:szCs w:val="30"/>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60">
    <w:nsid w:val="7720E3C0"/>
    <w:multiLevelType w:val="multilevel"/>
    <w:tmpl w:val="7720E3C0"/>
    <w:lvl w:ilvl="0" w:tentative="0">
      <w:start w:val="5"/>
      <w:numFmt w:val="decimal"/>
      <w:lvlText w:val="%1."/>
      <w:lvlJc w:val="left"/>
      <w:pPr>
        <w:ind w:left="425" w:hanging="425"/>
      </w:pPr>
      <w:rPr>
        <w:rFonts w:hint="default"/>
      </w:rPr>
    </w:lvl>
    <w:lvl w:ilvl="1" w:tentative="0">
      <w:start w:val="4"/>
      <w:numFmt w:val="decimal"/>
      <w:lvlText w:val="%1.%2."/>
      <w:lvlJc w:val="left"/>
      <w:pPr>
        <w:ind w:left="567" w:hanging="567"/>
      </w:pPr>
      <w:rPr>
        <w:rFonts w:hint="default" w:ascii="宋体" w:hAnsi="宋体" w:eastAsia="宋体" w:cs="宋体"/>
      </w:rPr>
    </w:lvl>
    <w:lvl w:ilvl="2" w:tentative="0">
      <w:start w:val="1"/>
      <w:numFmt w:val="decimal"/>
      <w:suff w:val="space"/>
      <w:lvlText w:val="%1.%2.%3"/>
      <w:lvlJc w:val="left"/>
      <w:pPr>
        <w:tabs>
          <w:tab w:val="left" w:pos="420"/>
        </w:tabs>
        <w:ind w:left="709" w:hanging="709"/>
      </w:pPr>
      <w:rPr>
        <w:rFonts w:hint="default" w:ascii="Times New Roman" w:hAnsi="Times New Roman" w:eastAsia="宋体" w:cs="Times New Roman"/>
        <w:sz w:val="28"/>
        <w:szCs w:val="28"/>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61">
    <w:nsid w:val="795D29D4"/>
    <w:multiLevelType w:val="multilevel"/>
    <w:tmpl w:val="795D29D4"/>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57"/>
  </w:num>
  <w:num w:numId="2">
    <w:abstractNumId w:val="49"/>
  </w:num>
  <w:num w:numId="3">
    <w:abstractNumId w:val="3"/>
  </w:num>
  <w:num w:numId="4">
    <w:abstractNumId w:val="9"/>
  </w:num>
  <w:num w:numId="5">
    <w:abstractNumId w:val="58"/>
  </w:num>
  <w:num w:numId="6">
    <w:abstractNumId w:val="22"/>
  </w:num>
  <w:num w:numId="7">
    <w:abstractNumId w:val="34"/>
  </w:num>
  <w:num w:numId="8">
    <w:abstractNumId w:val="33"/>
  </w:num>
  <w:num w:numId="9">
    <w:abstractNumId w:val="61"/>
  </w:num>
  <w:num w:numId="10">
    <w:abstractNumId w:val="56"/>
  </w:num>
  <w:num w:numId="11">
    <w:abstractNumId w:val="39"/>
  </w:num>
  <w:num w:numId="12">
    <w:abstractNumId w:val="20"/>
  </w:num>
  <w:num w:numId="13">
    <w:abstractNumId w:val="37"/>
  </w:num>
  <w:num w:numId="14">
    <w:abstractNumId w:val="13"/>
  </w:num>
  <w:num w:numId="15">
    <w:abstractNumId w:val="32"/>
  </w:num>
  <w:num w:numId="1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0"/>
  </w:num>
  <w:num w:numId="20">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num>
  <w:num w:numId="22">
    <w:abstractNumId w:val="47"/>
  </w:num>
  <w:num w:numId="23">
    <w:abstractNumId w:val="1"/>
  </w:num>
  <w:num w:numId="24">
    <w:abstractNumId w:val="6"/>
  </w:num>
  <w:num w:numId="25">
    <w:abstractNumId w:val="2"/>
  </w:num>
  <w:num w:numId="26">
    <w:abstractNumId w:val="36"/>
  </w:num>
  <w:num w:numId="27">
    <w:abstractNumId w:val="60"/>
  </w:num>
  <w:num w:numId="28">
    <w:abstractNumId w:val="48"/>
  </w:num>
  <w:num w:numId="29">
    <w:abstractNumId w:val="29"/>
  </w:num>
  <w:num w:numId="30">
    <w:abstractNumId w:val="38"/>
  </w:num>
  <w:num w:numId="31">
    <w:abstractNumId w:val="54"/>
  </w:num>
  <w:num w:numId="32">
    <w:abstractNumId w:val="30"/>
  </w:num>
  <w:num w:numId="33">
    <w:abstractNumId w:val="59"/>
  </w:num>
  <w:num w:numId="34">
    <w:abstractNumId w:val="10"/>
  </w:num>
  <w:num w:numId="35">
    <w:abstractNumId w:val="4"/>
  </w:num>
  <w:num w:numId="36">
    <w:abstractNumId w:val="5"/>
  </w:num>
  <w:num w:numId="37">
    <w:abstractNumId w:val="23"/>
  </w:num>
  <w:num w:numId="38">
    <w:abstractNumId w:val="19"/>
  </w:num>
  <w:num w:numId="39">
    <w:abstractNumId w:val="52"/>
  </w:num>
  <w:num w:numId="40">
    <w:abstractNumId w:val="8"/>
  </w:num>
  <w:num w:numId="41">
    <w:abstractNumId w:val="28"/>
  </w:num>
  <w:num w:numId="42">
    <w:abstractNumId w:val="26"/>
  </w:num>
  <w:num w:numId="43">
    <w:abstractNumId w:val="0"/>
  </w:num>
  <w:num w:numId="44">
    <w:abstractNumId w:val="24"/>
  </w:num>
  <w:num w:numId="45">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5"/>
  </w:num>
  <w:num w:numId="4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6"/>
  </w:num>
  <w:num w:numId="51">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1"/>
  </w:num>
  <w:num w:numId="53">
    <w:abstractNumId w:val="43"/>
  </w:num>
  <w:num w:numId="54">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8"/>
  </w:num>
  <w:num w:numId="56">
    <w:abstractNumId w:val="42"/>
  </w:num>
  <w:num w:numId="57">
    <w:abstractNumId w:val="12"/>
  </w:num>
  <w:num w:numId="58">
    <w:abstractNumId w:val="45"/>
  </w:num>
  <w:num w:numId="59">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7"/>
  </w:num>
  <w:num w:numId="61">
    <w:abstractNumId w:val="11"/>
  </w:num>
  <w:num w:numId="62">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7"/>
  </w:num>
  <w:num w:numId="65">
    <w:abstractNumId w:val="53"/>
  </w:num>
  <w:num w:numId="6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6"/>
  </w:num>
  <w:num w:numId="68">
    <w:abstractNumId w:val="14"/>
  </w:num>
  <w:num w:numId="69">
    <w:abstractNumId w:val="35"/>
  </w:num>
  <w:num w:numId="70">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5"/>
  </w:num>
  <w:num w:numId="75">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1"/>
  </w:num>
  <w:num w:numId="78">
    <w:abstractNumId w:val="31"/>
  </w:num>
  <w:num w:numId="79">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55"/>
  </w:num>
  <w:num w:numId="85">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51"/>
  </w:num>
  <w:num w:numId="87">
    <w:abstractNumId w:val="44"/>
  </w:num>
  <w:num w:numId="88">
    <w:abstractNumId w:val="40"/>
  </w:num>
  <w:num w:numId="89">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40"/>
  <w:drawingGridVerticalSpacing w:val="395"/>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WMyYjMwZDNiNWM1NGYzM2ExMzNhNjU1NmE4YzMwZDQifQ=="/>
  </w:docVars>
  <w:rsids>
    <w:rsidRoot w:val="00172A27"/>
    <w:rsid w:val="00010EE8"/>
    <w:rsid w:val="00013347"/>
    <w:rsid w:val="00025BB8"/>
    <w:rsid w:val="000314FA"/>
    <w:rsid w:val="0004452A"/>
    <w:rsid w:val="000541EA"/>
    <w:rsid w:val="000563A0"/>
    <w:rsid w:val="0006090A"/>
    <w:rsid w:val="00072ADB"/>
    <w:rsid w:val="0007749B"/>
    <w:rsid w:val="000804B8"/>
    <w:rsid w:val="0008518D"/>
    <w:rsid w:val="000870FF"/>
    <w:rsid w:val="0009326E"/>
    <w:rsid w:val="00093756"/>
    <w:rsid w:val="00094704"/>
    <w:rsid w:val="000A0D19"/>
    <w:rsid w:val="000A228A"/>
    <w:rsid w:val="000A4CFA"/>
    <w:rsid w:val="000A6550"/>
    <w:rsid w:val="000E0D0D"/>
    <w:rsid w:val="000E1A5F"/>
    <w:rsid w:val="000F2A08"/>
    <w:rsid w:val="000F4D1D"/>
    <w:rsid w:val="001119A9"/>
    <w:rsid w:val="00112561"/>
    <w:rsid w:val="00112E5E"/>
    <w:rsid w:val="001135F9"/>
    <w:rsid w:val="001136F9"/>
    <w:rsid w:val="00123958"/>
    <w:rsid w:val="0012541F"/>
    <w:rsid w:val="00127741"/>
    <w:rsid w:val="001346D3"/>
    <w:rsid w:val="00140394"/>
    <w:rsid w:val="001421B2"/>
    <w:rsid w:val="00142EED"/>
    <w:rsid w:val="00143D67"/>
    <w:rsid w:val="001508D5"/>
    <w:rsid w:val="00154241"/>
    <w:rsid w:val="001545C2"/>
    <w:rsid w:val="00157434"/>
    <w:rsid w:val="001665A2"/>
    <w:rsid w:val="00171E43"/>
    <w:rsid w:val="00172A27"/>
    <w:rsid w:val="00172F43"/>
    <w:rsid w:val="0017532F"/>
    <w:rsid w:val="00176819"/>
    <w:rsid w:val="00186135"/>
    <w:rsid w:val="0019023B"/>
    <w:rsid w:val="0019256E"/>
    <w:rsid w:val="001942F9"/>
    <w:rsid w:val="00194B76"/>
    <w:rsid w:val="00195893"/>
    <w:rsid w:val="00195B3E"/>
    <w:rsid w:val="00197667"/>
    <w:rsid w:val="001A4BFA"/>
    <w:rsid w:val="001B03DA"/>
    <w:rsid w:val="001B31F1"/>
    <w:rsid w:val="001B7CDB"/>
    <w:rsid w:val="001C309F"/>
    <w:rsid w:val="001C6C38"/>
    <w:rsid w:val="001D0644"/>
    <w:rsid w:val="001D4142"/>
    <w:rsid w:val="001D78F3"/>
    <w:rsid w:val="001E75BF"/>
    <w:rsid w:val="00204077"/>
    <w:rsid w:val="002219DF"/>
    <w:rsid w:val="0024007E"/>
    <w:rsid w:val="0024329E"/>
    <w:rsid w:val="00247C7C"/>
    <w:rsid w:val="00250CF0"/>
    <w:rsid w:val="002531D0"/>
    <w:rsid w:val="00257176"/>
    <w:rsid w:val="002606A7"/>
    <w:rsid w:val="00262C63"/>
    <w:rsid w:val="002653CE"/>
    <w:rsid w:val="002665DE"/>
    <w:rsid w:val="00266C8F"/>
    <w:rsid w:val="00293CFE"/>
    <w:rsid w:val="00295360"/>
    <w:rsid w:val="00295E47"/>
    <w:rsid w:val="002B0864"/>
    <w:rsid w:val="002B0E81"/>
    <w:rsid w:val="002B4AA7"/>
    <w:rsid w:val="002B6E30"/>
    <w:rsid w:val="002C046D"/>
    <w:rsid w:val="002C0B26"/>
    <w:rsid w:val="002D4E92"/>
    <w:rsid w:val="002D538F"/>
    <w:rsid w:val="002D5782"/>
    <w:rsid w:val="002D651A"/>
    <w:rsid w:val="002E10B1"/>
    <w:rsid w:val="002E2763"/>
    <w:rsid w:val="002F74BA"/>
    <w:rsid w:val="0030110B"/>
    <w:rsid w:val="003109E1"/>
    <w:rsid w:val="00316E50"/>
    <w:rsid w:val="003239BB"/>
    <w:rsid w:val="00342104"/>
    <w:rsid w:val="003548FF"/>
    <w:rsid w:val="00357FE5"/>
    <w:rsid w:val="003633AD"/>
    <w:rsid w:val="00370463"/>
    <w:rsid w:val="0037348C"/>
    <w:rsid w:val="00380089"/>
    <w:rsid w:val="003801C6"/>
    <w:rsid w:val="0038731E"/>
    <w:rsid w:val="003918AD"/>
    <w:rsid w:val="0039548D"/>
    <w:rsid w:val="003954D0"/>
    <w:rsid w:val="003A1DF3"/>
    <w:rsid w:val="003A2666"/>
    <w:rsid w:val="003B4437"/>
    <w:rsid w:val="003C02EE"/>
    <w:rsid w:val="003D1F36"/>
    <w:rsid w:val="003E1815"/>
    <w:rsid w:val="003E3678"/>
    <w:rsid w:val="003E68EE"/>
    <w:rsid w:val="003F1537"/>
    <w:rsid w:val="003F37B3"/>
    <w:rsid w:val="003F5930"/>
    <w:rsid w:val="003F702A"/>
    <w:rsid w:val="0040383D"/>
    <w:rsid w:val="0040451F"/>
    <w:rsid w:val="004066E4"/>
    <w:rsid w:val="004107A7"/>
    <w:rsid w:val="004132D6"/>
    <w:rsid w:val="00423875"/>
    <w:rsid w:val="0042387A"/>
    <w:rsid w:val="00431C5B"/>
    <w:rsid w:val="00435012"/>
    <w:rsid w:val="0044220A"/>
    <w:rsid w:val="00442705"/>
    <w:rsid w:val="004437BA"/>
    <w:rsid w:val="00444592"/>
    <w:rsid w:val="0044490C"/>
    <w:rsid w:val="004455D2"/>
    <w:rsid w:val="004535AF"/>
    <w:rsid w:val="00466626"/>
    <w:rsid w:val="00471EB3"/>
    <w:rsid w:val="00473364"/>
    <w:rsid w:val="00482FB5"/>
    <w:rsid w:val="00484E35"/>
    <w:rsid w:val="004866C2"/>
    <w:rsid w:val="004971E3"/>
    <w:rsid w:val="004A2690"/>
    <w:rsid w:val="004A7AB1"/>
    <w:rsid w:val="004B6EF8"/>
    <w:rsid w:val="004C30D7"/>
    <w:rsid w:val="004C6831"/>
    <w:rsid w:val="004C6A83"/>
    <w:rsid w:val="004D454E"/>
    <w:rsid w:val="004E2AA6"/>
    <w:rsid w:val="004E3503"/>
    <w:rsid w:val="004E719C"/>
    <w:rsid w:val="004F71E1"/>
    <w:rsid w:val="004F7501"/>
    <w:rsid w:val="0050024D"/>
    <w:rsid w:val="00504B7B"/>
    <w:rsid w:val="0050717B"/>
    <w:rsid w:val="00517F5A"/>
    <w:rsid w:val="00525809"/>
    <w:rsid w:val="00537A1A"/>
    <w:rsid w:val="00541A04"/>
    <w:rsid w:val="0054349D"/>
    <w:rsid w:val="00544AB3"/>
    <w:rsid w:val="00550E96"/>
    <w:rsid w:val="00556C74"/>
    <w:rsid w:val="00560D90"/>
    <w:rsid w:val="00562891"/>
    <w:rsid w:val="0056437A"/>
    <w:rsid w:val="00572777"/>
    <w:rsid w:val="00574849"/>
    <w:rsid w:val="005803C1"/>
    <w:rsid w:val="00582456"/>
    <w:rsid w:val="0058391A"/>
    <w:rsid w:val="00585C16"/>
    <w:rsid w:val="005928F7"/>
    <w:rsid w:val="00597C82"/>
    <w:rsid w:val="005A53D2"/>
    <w:rsid w:val="005A599A"/>
    <w:rsid w:val="005B3118"/>
    <w:rsid w:val="005C021F"/>
    <w:rsid w:val="005C2708"/>
    <w:rsid w:val="005C2987"/>
    <w:rsid w:val="005C3795"/>
    <w:rsid w:val="005C72D7"/>
    <w:rsid w:val="005D3909"/>
    <w:rsid w:val="005D462C"/>
    <w:rsid w:val="005E16C2"/>
    <w:rsid w:val="005E2B16"/>
    <w:rsid w:val="005E4878"/>
    <w:rsid w:val="005F0797"/>
    <w:rsid w:val="005F3374"/>
    <w:rsid w:val="005F3B12"/>
    <w:rsid w:val="00600575"/>
    <w:rsid w:val="006060DE"/>
    <w:rsid w:val="00606276"/>
    <w:rsid w:val="00610A5F"/>
    <w:rsid w:val="006110F4"/>
    <w:rsid w:val="00617F6A"/>
    <w:rsid w:val="00631B8B"/>
    <w:rsid w:val="00632D69"/>
    <w:rsid w:val="0063608B"/>
    <w:rsid w:val="00636122"/>
    <w:rsid w:val="0063702B"/>
    <w:rsid w:val="0063713E"/>
    <w:rsid w:val="006410ED"/>
    <w:rsid w:val="00647001"/>
    <w:rsid w:val="00651B09"/>
    <w:rsid w:val="00651D9B"/>
    <w:rsid w:val="00663413"/>
    <w:rsid w:val="00666BA3"/>
    <w:rsid w:val="006675F9"/>
    <w:rsid w:val="00670D6E"/>
    <w:rsid w:val="00685360"/>
    <w:rsid w:val="00685BC5"/>
    <w:rsid w:val="00690026"/>
    <w:rsid w:val="006A0AE6"/>
    <w:rsid w:val="006A1D32"/>
    <w:rsid w:val="006B03BC"/>
    <w:rsid w:val="006B25C2"/>
    <w:rsid w:val="006B5072"/>
    <w:rsid w:val="006C0010"/>
    <w:rsid w:val="006C7ECA"/>
    <w:rsid w:val="006D0A1A"/>
    <w:rsid w:val="006D3FF1"/>
    <w:rsid w:val="006D42B0"/>
    <w:rsid w:val="006E2A56"/>
    <w:rsid w:val="006E6255"/>
    <w:rsid w:val="006F2FB5"/>
    <w:rsid w:val="0070150D"/>
    <w:rsid w:val="00701A47"/>
    <w:rsid w:val="0070407A"/>
    <w:rsid w:val="007048DF"/>
    <w:rsid w:val="00706FCD"/>
    <w:rsid w:val="00707C77"/>
    <w:rsid w:val="00716600"/>
    <w:rsid w:val="00717888"/>
    <w:rsid w:val="00722032"/>
    <w:rsid w:val="00723A0E"/>
    <w:rsid w:val="0073795A"/>
    <w:rsid w:val="00741818"/>
    <w:rsid w:val="007523D1"/>
    <w:rsid w:val="0075687D"/>
    <w:rsid w:val="00771854"/>
    <w:rsid w:val="007802FB"/>
    <w:rsid w:val="007834B9"/>
    <w:rsid w:val="00784270"/>
    <w:rsid w:val="0078566F"/>
    <w:rsid w:val="0078684A"/>
    <w:rsid w:val="007923DC"/>
    <w:rsid w:val="00796162"/>
    <w:rsid w:val="00797970"/>
    <w:rsid w:val="007A2BC1"/>
    <w:rsid w:val="007A643D"/>
    <w:rsid w:val="007A7C48"/>
    <w:rsid w:val="007B07CE"/>
    <w:rsid w:val="007B25C1"/>
    <w:rsid w:val="007C01BB"/>
    <w:rsid w:val="007C266D"/>
    <w:rsid w:val="007C413E"/>
    <w:rsid w:val="007C6D49"/>
    <w:rsid w:val="007D2F7B"/>
    <w:rsid w:val="007D3050"/>
    <w:rsid w:val="007D5B6E"/>
    <w:rsid w:val="007F0E3B"/>
    <w:rsid w:val="007F238E"/>
    <w:rsid w:val="007F5E69"/>
    <w:rsid w:val="007F6577"/>
    <w:rsid w:val="0080351F"/>
    <w:rsid w:val="00807C79"/>
    <w:rsid w:val="00807E28"/>
    <w:rsid w:val="00813565"/>
    <w:rsid w:val="0082274D"/>
    <w:rsid w:val="00833FF7"/>
    <w:rsid w:val="008450BD"/>
    <w:rsid w:val="008565B1"/>
    <w:rsid w:val="00860DA2"/>
    <w:rsid w:val="00863837"/>
    <w:rsid w:val="00873886"/>
    <w:rsid w:val="00874A5A"/>
    <w:rsid w:val="00874E8E"/>
    <w:rsid w:val="0088169D"/>
    <w:rsid w:val="0088695F"/>
    <w:rsid w:val="00894D98"/>
    <w:rsid w:val="008A72CD"/>
    <w:rsid w:val="008A7374"/>
    <w:rsid w:val="008B0E91"/>
    <w:rsid w:val="008B21FE"/>
    <w:rsid w:val="008B4FE1"/>
    <w:rsid w:val="008B54A7"/>
    <w:rsid w:val="008B5807"/>
    <w:rsid w:val="008B59CF"/>
    <w:rsid w:val="008B5E45"/>
    <w:rsid w:val="008B736F"/>
    <w:rsid w:val="008C3AC6"/>
    <w:rsid w:val="008C3B92"/>
    <w:rsid w:val="008C7053"/>
    <w:rsid w:val="008D48FB"/>
    <w:rsid w:val="008D632C"/>
    <w:rsid w:val="008D6D39"/>
    <w:rsid w:val="008E32A8"/>
    <w:rsid w:val="008F018B"/>
    <w:rsid w:val="008F3A42"/>
    <w:rsid w:val="008F51FE"/>
    <w:rsid w:val="008F69F6"/>
    <w:rsid w:val="0090109E"/>
    <w:rsid w:val="00902499"/>
    <w:rsid w:val="009064EB"/>
    <w:rsid w:val="00910650"/>
    <w:rsid w:val="00911678"/>
    <w:rsid w:val="00923F70"/>
    <w:rsid w:val="009304C4"/>
    <w:rsid w:val="00930D97"/>
    <w:rsid w:val="009328C8"/>
    <w:rsid w:val="009328F3"/>
    <w:rsid w:val="0093374B"/>
    <w:rsid w:val="00934E93"/>
    <w:rsid w:val="009357DF"/>
    <w:rsid w:val="00941C60"/>
    <w:rsid w:val="00943148"/>
    <w:rsid w:val="009476C8"/>
    <w:rsid w:val="0095359D"/>
    <w:rsid w:val="00953AF4"/>
    <w:rsid w:val="0095480E"/>
    <w:rsid w:val="00957323"/>
    <w:rsid w:val="0096154B"/>
    <w:rsid w:val="00961E3A"/>
    <w:rsid w:val="00967BC7"/>
    <w:rsid w:val="00967CCC"/>
    <w:rsid w:val="00972404"/>
    <w:rsid w:val="00972EFB"/>
    <w:rsid w:val="00975CC8"/>
    <w:rsid w:val="0097629C"/>
    <w:rsid w:val="00983A34"/>
    <w:rsid w:val="0098654C"/>
    <w:rsid w:val="00986C81"/>
    <w:rsid w:val="00986D02"/>
    <w:rsid w:val="0098712C"/>
    <w:rsid w:val="00990DBA"/>
    <w:rsid w:val="00992E15"/>
    <w:rsid w:val="009A48C1"/>
    <w:rsid w:val="009B5B21"/>
    <w:rsid w:val="009B752E"/>
    <w:rsid w:val="009C0523"/>
    <w:rsid w:val="009C186B"/>
    <w:rsid w:val="009C2EDB"/>
    <w:rsid w:val="009C35CB"/>
    <w:rsid w:val="009D22DE"/>
    <w:rsid w:val="009D3053"/>
    <w:rsid w:val="009D4F78"/>
    <w:rsid w:val="009D5C1F"/>
    <w:rsid w:val="009E4557"/>
    <w:rsid w:val="009E74EA"/>
    <w:rsid w:val="009F20F2"/>
    <w:rsid w:val="009F4423"/>
    <w:rsid w:val="00A141D7"/>
    <w:rsid w:val="00A269F1"/>
    <w:rsid w:val="00A45411"/>
    <w:rsid w:val="00A542F0"/>
    <w:rsid w:val="00A557B0"/>
    <w:rsid w:val="00A56F69"/>
    <w:rsid w:val="00A57079"/>
    <w:rsid w:val="00A67A75"/>
    <w:rsid w:val="00A67ACC"/>
    <w:rsid w:val="00A7565C"/>
    <w:rsid w:val="00A76F56"/>
    <w:rsid w:val="00A83732"/>
    <w:rsid w:val="00A838ED"/>
    <w:rsid w:val="00A85A6E"/>
    <w:rsid w:val="00A91A20"/>
    <w:rsid w:val="00A92794"/>
    <w:rsid w:val="00A97757"/>
    <w:rsid w:val="00AA2A84"/>
    <w:rsid w:val="00AB0C42"/>
    <w:rsid w:val="00AB4710"/>
    <w:rsid w:val="00AB5F8B"/>
    <w:rsid w:val="00AB77E0"/>
    <w:rsid w:val="00AD081A"/>
    <w:rsid w:val="00AD237E"/>
    <w:rsid w:val="00AD7949"/>
    <w:rsid w:val="00AF1023"/>
    <w:rsid w:val="00B0003D"/>
    <w:rsid w:val="00B05226"/>
    <w:rsid w:val="00B05A97"/>
    <w:rsid w:val="00B13BA8"/>
    <w:rsid w:val="00B15334"/>
    <w:rsid w:val="00B15830"/>
    <w:rsid w:val="00B2350F"/>
    <w:rsid w:val="00B23862"/>
    <w:rsid w:val="00B23B6D"/>
    <w:rsid w:val="00B243B6"/>
    <w:rsid w:val="00B26DAF"/>
    <w:rsid w:val="00B26E6B"/>
    <w:rsid w:val="00B50806"/>
    <w:rsid w:val="00B5176E"/>
    <w:rsid w:val="00B527FE"/>
    <w:rsid w:val="00B532E8"/>
    <w:rsid w:val="00B537A6"/>
    <w:rsid w:val="00B56539"/>
    <w:rsid w:val="00B56D2B"/>
    <w:rsid w:val="00B57A1F"/>
    <w:rsid w:val="00B65413"/>
    <w:rsid w:val="00B715CF"/>
    <w:rsid w:val="00B729D9"/>
    <w:rsid w:val="00B77581"/>
    <w:rsid w:val="00B8028E"/>
    <w:rsid w:val="00B828BF"/>
    <w:rsid w:val="00B8305D"/>
    <w:rsid w:val="00B849C9"/>
    <w:rsid w:val="00B86B99"/>
    <w:rsid w:val="00B9349E"/>
    <w:rsid w:val="00B941F1"/>
    <w:rsid w:val="00BA4613"/>
    <w:rsid w:val="00BA5720"/>
    <w:rsid w:val="00BC2241"/>
    <w:rsid w:val="00BC4B87"/>
    <w:rsid w:val="00BD1AB3"/>
    <w:rsid w:val="00BD5D63"/>
    <w:rsid w:val="00BD6620"/>
    <w:rsid w:val="00BE671D"/>
    <w:rsid w:val="00BF3EA6"/>
    <w:rsid w:val="00C0208E"/>
    <w:rsid w:val="00C04906"/>
    <w:rsid w:val="00C12C5F"/>
    <w:rsid w:val="00C1551F"/>
    <w:rsid w:val="00C17D2E"/>
    <w:rsid w:val="00C2334A"/>
    <w:rsid w:val="00C2629C"/>
    <w:rsid w:val="00C2767C"/>
    <w:rsid w:val="00C30C3C"/>
    <w:rsid w:val="00C315F7"/>
    <w:rsid w:val="00C317ED"/>
    <w:rsid w:val="00C34C3C"/>
    <w:rsid w:val="00C41F6E"/>
    <w:rsid w:val="00C43059"/>
    <w:rsid w:val="00C43D81"/>
    <w:rsid w:val="00C456CD"/>
    <w:rsid w:val="00C46446"/>
    <w:rsid w:val="00C46B41"/>
    <w:rsid w:val="00C471B0"/>
    <w:rsid w:val="00C4727F"/>
    <w:rsid w:val="00C5151B"/>
    <w:rsid w:val="00C5772F"/>
    <w:rsid w:val="00C65853"/>
    <w:rsid w:val="00C7093E"/>
    <w:rsid w:val="00C7317D"/>
    <w:rsid w:val="00C7473F"/>
    <w:rsid w:val="00C8051F"/>
    <w:rsid w:val="00C81FD2"/>
    <w:rsid w:val="00C9575F"/>
    <w:rsid w:val="00C95807"/>
    <w:rsid w:val="00CA197C"/>
    <w:rsid w:val="00CC328E"/>
    <w:rsid w:val="00CC78EF"/>
    <w:rsid w:val="00CD70DC"/>
    <w:rsid w:val="00CF0AE2"/>
    <w:rsid w:val="00CF43B5"/>
    <w:rsid w:val="00D01637"/>
    <w:rsid w:val="00D0301C"/>
    <w:rsid w:val="00D0421F"/>
    <w:rsid w:val="00D049E2"/>
    <w:rsid w:val="00D11423"/>
    <w:rsid w:val="00D23221"/>
    <w:rsid w:val="00D25CAE"/>
    <w:rsid w:val="00D35C37"/>
    <w:rsid w:val="00D36C41"/>
    <w:rsid w:val="00D42FB9"/>
    <w:rsid w:val="00D503A7"/>
    <w:rsid w:val="00D61B96"/>
    <w:rsid w:val="00D70353"/>
    <w:rsid w:val="00D70685"/>
    <w:rsid w:val="00D73F3C"/>
    <w:rsid w:val="00D80D9A"/>
    <w:rsid w:val="00D920B7"/>
    <w:rsid w:val="00D94316"/>
    <w:rsid w:val="00D9508C"/>
    <w:rsid w:val="00DA0795"/>
    <w:rsid w:val="00DA197F"/>
    <w:rsid w:val="00DA3AF0"/>
    <w:rsid w:val="00DA44AC"/>
    <w:rsid w:val="00DA4DAF"/>
    <w:rsid w:val="00DA529F"/>
    <w:rsid w:val="00DA7F98"/>
    <w:rsid w:val="00DB0ECE"/>
    <w:rsid w:val="00DB4587"/>
    <w:rsid w:val="00DB4DA8"/>
    <w:rsid w:val="00DB698F"/>
    <w:rsid w:val="00DC1D63"/>
    <w:rsid w:val="00DC1E89"/>
    <w:rsid w:val="00DC45FF"/>
    <w:rsid w:val="00DC6B3C"/>
    <w:rsid w:val="00DE2398"/>
    <w:rsid w:val="00DF1A49"/>
    <w:rsid w:val="00E12385"/>
    <w:rsid w:val="00E12F52"/>
    <w:rsid w:val="00E15F83"/>
    <w:rsid w:val="00E16967"/>
    <w:rsid w:val="00E40DA7"/>
    <w:rsid w:val="00E5067B"/>
    <w:rsid w:val="00E511D2"/>
    <w:rsid w:val="00E534F9"/>
    <w:rsid w:val="00E606CE"/>
    <w:rsid w:val="00E6159D"/>
    <w:rsid w:val="00E62B57"/>
    <w:rsid w:val="00E706DB"/>
    <w:rsid w:val="00E7305A"/>
    <w:rsid w:val="00E7597B"/>
    <w:rsid w:val="00E76E39"/>
    <w:rsid w:val="00E8002F"/>
    <w:rsid w:val="00E85727"/>
    <w:rsid w:val="00E87922"/>
    <w:rsid w:val="00E92299"/>
    <w:rsid w:val="00E925EB"/>
    <w:rsid w:val="00E94C75"/>
    <w:rsid w:val="00EA1121"/>
    <w:rsid w:val="00EA642C"/>
    <w:rsid w:val="00EA7566"/>
    <w:rsid w:val="00EA7BE9"/>
    <w:rsid w:val="00EB25AC"/>
    <w:rsid w:val="00EB2E60"/>
    <w:rsid w:val="00EB31A9"/>
    <w:rsid w:val="00EB562E"/>
    <w:rsid w:val="00EC2FCF"/>
    <w:rsid w:val="00EC6762"/>
    <w:rsid w:val="00EC7136"/>
    <w:rsid w:val="00ED08D9"/>
    <w:rsid w:val="00EF087C"/>
    <w:rsid w:val="00EF2DE1"/>
    <w:rsid w:val="00EF3967"/>
    <w:rsid w:val="00F019E7"/>
    <w:rsid w:val="00F03974"/>
    <w:rsid w:val="00F06551"/>
    <w:rsid w:val="00F1338A"/>
    <w:rsid w:val="00F164F6"/>
    <w:rsid w:val="00F16A59"/>
    <w:rsid w:val="00F203F5"/>
    <w:rsid w:val="00F25C6E"/>
    <w:rsid w:val="00F26682"/>
    <w:rsid w:val="00F36B15"/>
    <w:rsid w:val="00F401D4"/>
    <w:rsid w:val="00F41FD6"/>
    <w:rsid w:val="00F42CE8"/>
    <w:rsid w:val="00F50FC1"/>
    <w:rsid w:val="00F518EF"/>
    <w:rsid w:val="00F53E3E"/>
    <w:rsid w:val="00F57ABE"/>
    <w:rsid w:val="00F62B99"/>
    <w:rsid w:val="00F643FE"/>
    <w:rsid w:val="00F67F85"/>
    <w:rsid w:val="00F7324C"/>
    <w:rsid w:val="00F76B4F"/>
    <w:rsid w:val="00F84A92"/>
    <w:rsid w:val="00F92024"/>
    <w:rsid w:val="00FA0F1D"/>
    <w:rsid w:val="00FB1ACC"/>
    <w:rsid w:val="00FB1E5F"/>
    <w:rsid w:val="00FB6758"/>
    <w:rsid w:val="00FC36CF"/>
    <w:rsid w:val="00FC4E71"/>
    <w:rsid w:val="00FC6763"/>
    <w:rsid w:val="00FD29F9"/>
    <w:rsid w:val="00FE3143"/>
    <w:rsid w:val="00FE3BA8"/>
    <w:rsid w:val="00FE5529"/>
    <w:rsid w:val="00FF0380"/>
    <w:rsid w:val="00FF26DA"/>
    <w:rsid w:val="00FF4929"/>
    <w:rsid w:val="00FF4AA0"/>
    <w:rsid w:val="00FF61C6"/>
    <w:rsid w:val="011604A4"/>
    <w:rsid w:val="01B2647E"/>
    <w:rsid w:val="01B36371"/>
    <w:rsid w:val="01C95337"/>
    <w:rsid w:val="02291736"/>
    <w:rsid w:val="02897931"/>
    <w:rsid w:val="02A51F6C"/>
    <w:rsid w:val="02B6527D"/>
    <w:rsid w:val="02BA240C"/>
    <w:rsid w:val="02D52B76"/>
    <w:rsid w:val="031805DF"/>
    <w:rsid w:val="032177E2"/>
    <w:rsid w:val="033007F0"/>
    <w:rsid w:val="039A5FC3"/>
    <w:rsid w:val="03B56108"/>
    <w:rsid w:val="03C14E5A"/>
    <w:rsid w:val="0421297C"/>
    <w:rsid w:val="04265B13"/>
    <w:rsid w:val="042E25B6"/>
    <w:rsid w:val="04D37C38"/>
    <w:rsid w:val="04F574FF"/>
    <w:rsid w:val="05121B6A"/>
    <w:rsid w:val="0525145B"/>
    <w:rsid w:val="05CF0978"/>
    <w:rsid w:val="05EE7B15"/>
    <w:rsid w:val="062D532C"/>
    <w:rsid w:val="067D2161"/>
    <w:rsid w:val="06952FD7"/>
    <w:rsid w:val="0696576C"/>
    <w:rsid w:val="06A633C3"/>
    <w:rsid w:val="06D939D5"/>
    <w:rsid w:val="06F963AB"/>
    <w:rsid w:val="0712236D"/>
    <w:rsid w:val="0713482C"/>
    <w:rsid w:val="07152F38"/>
    <w:rsid w:val="071A55E1"/>
    <w:rsid w:val="085424AB"/>
    <w:rsid w:val="085C0E31"/>
    <w:rsid w:val="08B87E91"/>
    <w:rsid w:val="08E92ED7"/>
    <w:rsid w:val="093F6A4A"/>
    <w:rsid w:val="09776B2C"/>
    <w:rsid w:val="0A342812"/>
    <w:rsid w:val="0A7315F2"/>
    <w:rsid w:val="0AF02570"/>
    <w:rsid w:val="0B245DC2"/>
    <w:rsid w:val="0B81724B"/>
    <w:rsid w:val="0BDC6211"/>
    <w:rsid w:val="0C16054A"/>
    <w:rsid w:val="0C2F41A4"/>
    <w:rsid w:val="0C333432"/>
    <w:rsid w:val="0C3B1C9C"/>
    <w:rsid w:val="0C4B0BAD"/>
    <w:rsid w:val="0CE4516B"/>
    <w:rsid w:val="0D1E0A0B"/>
    <w:rsid w:val="0D6352AC"/>
    <w:rsid w:val="0F4D59FA"/>
    <w:rsid w:val="0F550158"/>
    <w:rsid w:val="0F681D21"/>
    <w:rsid w:val="0F932638"/>
    <w:rsid w:val="0F933DDF"/>
    <w:rsid w:val="0F9D0F90"/>
    <w:rsid w:val="0FD63ED7"/>
    <w:rsid w:val="10352EA6"/>
    <w:rsid w:val="10C942F1"/>
    <w:rsid w:val="10FF2DD6"/>
    <w:rsid w:val="1146642B"/>
    <w:rsid w:val="117825EE"/>
    <w:rsid w:val="11BF1826"/>
    <w:rsid w:val="126F64B0"/>
    <w:rsid w:val="12802AFE"/>
    <w:rsid w:val="1293457D"/>
    <w:rsid w:val="12B774FF"/>
    <w:rsid w:val="12C97B2F"/>
    <w:rsid w:val="137C7CFC"/>
    <w:rsid w:val="138B7D3A"/>
    <w:rsid w:val="13E4512B"/>
    <w:rsid w:val="142552F0"/>
    <w:rsid w:val="143C12C5"/>
    <w:rsid w:val="144F204F"/>
    <w:rsid w:val="150E7C1B"/>
    <w:rsid w:val="152D30FE"/>
    <w:rsid w:val="15301FD2"/>
    <w:rsid w:val="153D186C"/>
    <w:rsid w:val="154530F4"/>
    <w:rsid w:val="15554BC0"/>
    <w:rsid w:val="1558428B"/>
    <w:rsid w:val="1562334D"/>
    <w:rsid w:val="156C1118"/>
    <w:rsid w:val="157D1577"/>
    <w:rsid w:val="1587565E"/>
    <w:rsid w:val="15C47085"/>
    <w:rsid w:val="16176968"/>
    <w:rsid w:val="161F007A"/>
    <w:rsid w:val="169B02C6"/>
    <w:rsid w:val="16BA390D"/>
    <w:rsid w:val="16BF2C4E"/>
    <w:rsid w:val="16C37281"/>
    <w:rsid w:val="16EE0C17"/>
    <w:rsid w:val="16F76CFE"/>
    <w:rsid w:val="171470B9"/>
    <w:rsid w:val="1726088C"/>
    <w:rsid w:val="17A90875"/>
    <w:rsid w:val="17B27B10"/>
    <w:rsid w:val="17C36229"/>
    <w:rsid w:val="17C62B2D"/>
    <w:rsid w:val="182F47BB"/>
    <w:rsid w:val="18775DF0"/>
    <w:rsid w:val="18915F96"/>
    <w:rsid w:val="19370E41"/>
    <w:rsid w:val="1A017A08"/>
    <w:rsid w:val="1AB769F6"/>
    <w:rsid w:val="1AC942DC"/>
    <w:rsid w:val="1AE97685"/>
    <w:rsid w:val="1AF945FD"/>
    <w:rsid w:val="1B08200A"/>
    <w:rsid w:val="1B99253B"/>
    <w:rsid w:val="1BFC74F9"/>
    <w:rsid w:val="1C43143D"/>
    <w:rsid w:val="1C451C53"/>
    <w:rsid w:val="1C482B6C"/>
    <w:rsid w:val="1C7104BF"/>
    <w:rsid w:val="1CBA3569"/>
    <w:rsid w:val="1D8B67FB"/>
    <w:rsid w:val="1DF22311"/>
    <w:rsid w:val="1E10240E"/>
    <w:rsid w:val="1E1E3077"/>
    <w:rsid w:val="1E6D22BC"/>
    <w:rsid w:val="1EAF681B"/>
    <w:rsid w:val="1EB86879"/>
    <w:rsid w:val="1F0861E8"/>
    <w:rsid w:val="1F0E7197"/>
    <w:rsid w:val="1FA20EDB"/>
    <w:rsid w:val="1FC72E8E"/>
    <w:rsid w:val="1FE81CE3"/>
    <w:rsid w:val="20376408"/>
    <w:rsid w:val="206C288A"/>
    <w:rsid w:val="20874914"/>
    <w:rsid w:val="20A83B0D"/>
    <w:rsid w:val="20A94CEF"/>
    <w:rsid w:val="20B038A5"/>
    <w:rsid w:val="20BE510A"/>
    <w:rsid w:val="20E05291"/>
    <w:rsid w:val="2152460E"/>
    <w:rsid w:val="216E76E9"/>
    <w:rsid w:val="219F7642"/>
    <w:rsid w:val="21A6701C"/>
    <w:rsid w:val="22044141"/>
    <w:rsid w:val="2288591A"/>
    <w:rsid w:val="22DF602E"/>
    <w:rsid w:val="232A2746"/>
    <w:rsid w:val="24074D6B"/>
    <w:rsid w:val="242D27EF"/>
    <w:rsid w:val="24362944"/>
    <w:rsid w:val="250B4083"/>
    <w:rsid w:val="2510646D"/>
    <w:rsid w:val="257E26EB"/>
    <w:rsid w:val="26202999"/>
    <w:rsid w:val="2646009D"/>
    <w:rsid w:val="26696A9D"/>
    <w:rsid w:val="27C43B20"/>
    <w:rsid w:val="27F43E01"/>
    <w:rsid w:val="28926B9F"/>
    <w:rsid w:val="28987466"/>
    <w:rsid w:val="291309CF"/>
    <w:rsid w:val="2A3B737E"/>
    <w:rsid w:val="2A4233F2"/>
    <w:rsid w:val="2A831310"/>
    <w:rsid w:val="2A9211C9"/>
    <w:rsid w:val="2ADC41F2"/>
    <w:rsid w:val="2ADD512B"/>
    <w:rsid w:val="2B0935A2"/>
    <w:rsid w:val="2B127765"/>
    <w:rsid w:val="2BA32513"/>
    <w:rsid w:val="2BF91EA8"/>
    <w:rsid w:val="2C330B0D"/>
    <w:rsid w:val="2C4C6EAE"/>
    <w:rsid w:val="2C5B2A2B"/>
    <w:rsid w:val="2CC84A42"/>
    <w:rsid w:val="2CEA2CC3"/>
    <w:rsid w:val="2D2C0701"/>
    <w:rsid w:val="2D500581"/>
    <w:rsid w:val="2D7E77E3"/>
    <w:rsid w:val="2DF12D3A"/>
    <w:rsid w:val="2E4558E2"/>
    <w:rsid w:val="2E7D2411"/>
    <w:rsid w:val="2EEF683F"/>
    <w:rsid w:val="2F332352"/>
    <w:rsid w:val="2FB76FDC"/>
    <w:rsid w:val="304466D5"/>
    <w:rsid w:val="304A0482"/>
    <w:rsid w:val="307977DF"/>
    <w:rsid w:val="30A62FAE"/>
    <w:rsid w:val="30C01802"/>
    <w:rsid w:val="30FF34C1"/>
    <w:rsid w:val="312732AF"/>
    <w:rsid w:val="31953C94"/>
    <w:rsid w:val="32306216"/>
    <w:rsid w:val="3262424A"/>
    <w:rsid w:val="32681B32"/>
    <w:rsid w:val="32AF2806"/>
    <w:rsid w:val="33A84493"/>
    <w:rsid w:val="33C8581E"/>
    <w:rsid w:val="345B032C"/>
    <w:rsid w:val="346040E6"/>
    <w:rsid w:val="35066E73"/>
    <w:rsid w:val="359E6C74"/>
    <w:rsid w:val="35A26888"/>
    <w:rsid w:val="35F854E1"/>
    <w:rsid w:val="364E62D5"/>
    <w:rsid w:val="3654298C"/>
    <w:rsid w:val="36AD29B2"/>
    <w:rsid w:val="36B10E7F"/>
    <w:rsid w:val="36CC0B86"/>
    <w:rsid w:val="36D63CE8"/>
    <w:rsid w:val="36E24754"/>
    <w:rsid w:val="36EC1C61"/>
    <w:rsid w:val="36EF21D4"/>
    <w:rsid w:val="36F828F5"/>
    <w:rsid w:val="37346911"/>
    <w:rsid w:val="374A6DC6"/>
    <w:rsid w:val="37736B42"/>
    <w:rsid w:val="37915732"/>
    <w:rsid w:val="37C8447C"/>
    <w:rsid w:val="37CF5B78"/>
    <w:rsid w:val="38441D21"/>
    <w:rsid w:val="388F0AF6"/>
    <w:rsid w:val="38E16F56"/>
    <w:rsid w:val="397C7E63"/>
    <w:rsid w:val="39972053"/>
    <w:rsid w:val="3A6737C6"/>
    <w:rsid w:val="3ADD1558"/>
    <w:rsid w:val="3AF969D5"/>
    <w:rsid w:val="3B2E3D5B"/>
    <w:rsid w:val="3B5A363D"/>
    <w:rsid w:val="3B846744"/>
    <w:rsid w:val="3BCB7CCA"/>
    <w:rsid w:val="3C664EB8"/>
    <w:rsid w:val="3C6F6465"/>
    <w:rsid w:val="3D5637EC"/>
    <w:rsid w:val="3DE660EE"/>
    <w:rsid w:val="3E2F0861"/>
    <w:rsid w:val="3E6121ED"/>
    <w:rsid w:val="3EED28D8"/>
    <w:rsid w:val="3F0A335E"/>
    <w:rsid w:val="3F255535"/>
    <w:rsid w:val="3F995CD9"/>
    <w:rsid w:val="40A65855"/>
    <w:rsid w:val="40B3495A"/>
    <w:rsid w:val="40B41A41"/>
    <w:rsid w:val="41924434"/>
    <w:rsid w:val="426254CD"/>
    <w:rsid w:val="42BA1802"/>
    <w:rsid w:val="42BD59DF"/>
    <w:rsid w:val="430D368B"/>
    <w:rsid w:val="43886FD3"/>
    <w:rsid w:val="43F3462F"/>
    <w:rsid w:val="44181A7E"/>
    <w:rsid w:val="447E374E"/>
    <w:rsid w:val="449F3E22"/>
    <w:rsid w:val="44AA39F6"/>
    <w:rsid w:val="44B6499C"/>
    <w:rsid w:val="44C42881"/>
    <w:rsid w:val="44FC7513"/>
    <w:rsid w:val="450E7214"/>
    <w:rsid w:val="451575FF"/>
    <w:rsid w:val="454B4F93"/>
    <w:rsid w:val="45C03AC3"/>
    <w:rsid w:val="45C57AC9"/>
    <w:rsid w:val="45C607DC"/>
    <w:rsid w:val="45E264C2"/>
    <w:rsid w:val="460214EE"/>
    <w:rsid w:val="46862B6D"/>
    <w:rsid w:val="469E2D11"/>
    <w:rsid w:val="46D94376"/>
    <w:rsid w:val="46F40D38"/>
    <w:rsid w:val="47583965"/>
    <w:rsid w:val="47AB78B1"/>
    <w:rsid w:val="47E3052B"/>
    <w:rsid w:val="47FD013B"/>
    <w:rsid w:val="481872D7"/>
    <w:rsid w:val="48831CF9"/>
    <w:rsid w:val="48983310"/>
    <w:rsid w:val="48A52EED"/>
    <w:rsid w:val="48CC1253"/>
    <w:rsid w:val="49040B67"/>
    <w:rsid w:val="491335D4"/>
    <w:rsid w:val="491F72F9"/>
    <w:rsid w:val="495B763E"/>
    <w:rsid w:val="497F0077"/>
    <w:rsid w:val="49A36832"/>
    <w:rsid w:val="49BD6292"/>
    <w:rsid w:val="49DB5AA2"/>
    <w:rsid w:val="49FE09F6"/>
    <w:rsid w:val="4A4369BD"/>
    <w:rsid w:val="4A7B2F09"/>
    <w:rsid w:val="4A8F79B3"/>
    <w:rsid w:val="4A9E3C4D"/>
    <w:rsid w:val="4B0A32E6"/>
    <w:rsid w:val="4B766C25"/>
    <w:rsid w:val="4B7D4C62"/>
    <w:rsid w:val="4B822978"/>
    <w:rsid w:val="4B8D1FF0"/>
    <w:rsid w:val="4C126541"/>
    <w:rsid w:val="4C3752D5"/>
    <w:rsid w:val="4C5D6E2B"/>
    <w:rsid w:val="4CA32A38"/>
    <w:rsid w:val="4CC319EE"/>
    <w:rsid w:val="4D811BE4"/>
    <w:rsid w:val="4D9739F8"/>
    <w:rsid w:val="4DB806D3"/>
    <w:rsid w:val="4E0C66FE"/>
    <w:rsid w:val="4E443972"/>
    <w:rsid w:val="4E5959D6"/>
    <w:rsid w:val="4E846B8B"/>
    <w:rsid w:val="4F200B30"/>
    <w:rsid w:val="4F686126"/>
    <w:rsid w:val="4FC476EE"/>
    <w:rsid w:val="508605D9"/>
    <w:rsid w:val="509B1EA4"/>
    <w:rsid w:val="50A54016"/>
    <w:rsid w:val="51A42AA6"/>
    <w:rsid w:val="51CA7059"/>
    <w:rsid w:val="51D9538C"/>
    <w:rsid w:val="520C5AF2"/>
    <w:rsid w:val="5268249E"/>
    <w:rsid w:val="52BA4740"/>
    <w:rsid w:val="52C97CC1"/>
    <w:rsid w:val="52CD6993"/>
    <w:rsid w:val="52D9353C"/>
    <w:rsid w:val="52F27AC8"/>
    <w:rsid w:val="530654E8"/>
    <w:rsid w:val="535B17B6"/>
    <w:rsid w:val="53D1326E"/>
    <w:rsid w:val="547A40C9"/>
    <w:rsid w:val="55163F07"/>
    <w:rsid w:val="55450392"/>
    <w:rsid w:val="554607D7"/>
    <w:rsid w:val="55696358"/>
    <w:rsid w:val="562D363C"/>
    <w:rsid w:val="56C61E97"/>
    <w:rsid w:val="56D72BBB"/>
    <w:rsid w:val="57055675"/>
    <w:rsid w:val="57767AF7"/>
    <w:rsid w:val="57E00F16"/>
    <w:rsid w:val="57ED053D"/>
    <w:rsid w:val="580276A5"/>
    <w:rsid w:val="58270B3F"/>
    <w:rsid w:val="586456A3"/>
    <w:rsid w:val="588C69A8"/>
    <w:rsid w:val="589C3548"/>
    <w:rsid w:val="58C97722"/>
    <w:rsid w:val="58DF0D4B"/>
    <w:rsid w:val="591362E7"/>
    <w:rsid w:val="59483D7A"/>
    <w:rsid w:val="598266A4"/>
    <w:rsid w:val="598C3C12"/>
    <w:rsid w:val="59B7658D"/>
    <w:rsid w:val="59DE04BA"/>
    <w:rsid w:val="59FA6221"/>
    <w:rsid w:val="5A044C87"/>
    <w:rsid w:val="5A733DAD"/>
    <w:rsid w:val="5A855F34"/>
    <w:rsid w:val="5A926D35"/>
    <w:rsid w:val="5AA06456"/>
    <w:rsid w:val="5AC072A0"/>
    <w:rsid w:val="5B205E57"/>
    <w:rsid w:val="5B230E27"/>
    <w:rsid w:val="5B73154B"/>
    <w:rsid w:val="5BC56515"/>
    <w:rsid w:val="5BCE2125"/>
    <w:rsid w:val="5C9F702A"/>
    <w:rsid w:val="5D1E09B3"/>
    <w:rsid w:val="5DC77603"/>
    <w:rsid w:val="5DDA083B"/>
    <w:rsid w:val="5E4B64B7"/>
    <w:rsid w:val="5E9A325A"/>
    <w:rsid w:val="5EA558A0"/>
    <w:rsid w:val="5EBE1836"/>
    <w:rsid w:val="5ED46FA4"/>
    <w:rsid w:val="5F392672"/>
    <w:rsid w:val="5F69362B"/>
    <w:rsid w:val="5FD42D54"/>
    <w:rsid w:val="5FEE62D3"/>
    <w:rsid w:val="602709E8"/>
    <w:rsid w:val="60624C40"/>
    <w:rsid w:val="6064071E"/>
    <w:rsid w:val="606B24C9"/>
    <w:rsid w:val="60D56EEB"/>
    <w:rsid w:val="60EC2790"/>
    <w:rsid w:val="61526D07"/>
    <w:rsid w:val="61AA1E8E"/>
    <w:rsid w:val="61E01147"/>
    <w:rsid w:val="61F06C9C"/>
    <w:rsid w:val="621269E5"/>
    <w:rsid w:val="6213150B"/>
    <w:rsid w:val="62384116"/>
    <w:rsid w:val="62FC4E4F"/>
    <w:rsid w:val="632806FD"/>
    <w:rsid w:val="63366B43"/>
    <w:rsid w:val="634E55C8"/>
    <w:rsid w:val="644C0C63"/>
    <w:rsid w:val="6481138B"/>
    <w:rsid w:val="649A22F2"/>
    <w:rsid w:val="64D02E36"/>
    <w:rsid w:val="6554516B"/>
    <w:rsid w:val="662357BC"/>
    <w:rsid w:val="66376BED"/>
    <w:rsid w:val="6687170C"/>
    <w:rsid w:val="670A02B2"/>
    <w:rsid w:val="675370B0"/>
    <w:rsid w:val="676E07F8"/>
    <w:rsid w:val="67C152F8"/>
    <w:rsid w:val="68100E9E"/>
    <w:rsid w:val="682D374C"/>
    <w:rsid w:val="68783003"/>
    <w:rsid w:val="68822E63"/>
    <w:rsid w:val="68EA2B66"/>
    <w:rsid w:val="68F23CD8"/>
    <w:rsid w:val="696B4FE6"/>
    <w:rsid w:val="69F40EA9"/>
    <w:rsid w:val="6A046E2A"/>
    <w:rsid w:val="6A8F588A"/>
    <w:rsid w:val="6BE32DE7"/>
    <w:rsid w:val="6BF12D56"/>
    <w:rsid w:val="6BF22677"/>
    <w:rsid w:val="6C121F0F"/>
    <w:rsid w:val="6C1A5BAF"/>
    <w:rsid w:val="6C9748F6"/>
    <w:rsid w:val="6CC968F1"/>
    <w:rsid w:val="6CD44519"/>
    <w:rsid w:val="6CE355F5"/>
    <w:rsid w:val="6CEC10C0"/>
    <w:rsid w:val="6D305867"/>
    <w:rsid w:val="6D760046"/>
    <w:rsid w:val="6DC569E5"/>
    <w:rsid w:val="6DD1169D"/>
    <w:rsid w:val="6E140AD3"/>
    <w:rsid w:val="6E375F0A"/>
    <w:rsid w:val="6E3816EC"/>
    <w:rsid w:val="6E7844B4"/>
    <w:rsid w:val="6E7B5036"/>
    <w:rsid w:val="6ED70540"/>
    <w:rsid w:val="6EDF511B"/>
    <w:rsid w:val="6EE95E3F"/>
    <w:rsid w:val="6FB549CA"/>
    <w:rsid w:val="6FBE5F18"/>
    <w:rsid w:val="6FE03841"/>
    <w:rsid w:val="6FF828BF"/>
    <w:rsid w:val="703A3558"/>
    <w:rsid w:val="70716758"/>
    <w:rsid w:val="70A038FB"/>
    <w:rsid w:val="717E487A"/>
    <w:rsid w:val="719D3802"/>
    <w:rsid w:val="71CD3D94"/>
    <w:rsid w:val="72426518"/>
    <w:rsid w:val="727F7618"/>
    <w:rsid w:val="72B35E03"/>
    <w:rsid w:val="72B50B7E"/>
    <w:rsid w:val="72E76721"/>
    <w:rsid w:val="72EB0043"/>
    <w:rsid w:val="72F03844"/>
    <w:rsid w:val="730B2E93"/>
    <w:rsid w:val="73D51E47"/>
    <w:rsid w:val="74000AD0"/>
    <w:rsid w:val="741D04AC"/>
    <w:rsid w:val="74251D33"/>
    <w:rsid w:val="742D349B"/>
    <w:rsid w:val="74505217"/>
    <w:rsid w:val="74710B4B"/>
    <w:rsid w:val="749C5A8E"/>
    <w:rsid w:val="75351349"/>
    <w:rsid w:val="753C0ED0"/>
    <w:rsid w:val="758E3908"/>
    <w:rsid w:val="75961729"/>
    <w:rsid w:val="75976C60"/>
    <w:rsid w:val="764B70E5"/>
    <w:rsid w:val="767D1DDB"/>
    <w:rsid w:val="767D5E56"/>
    <w:rsid w:val="7693638B"/>
    <w:rsid w:val="76B1218E"/>
    <w:rsid w:val="76C70E7F"/>
    <w:rsid w:val="76D32831"/>
    <w:rsid w:val="76D7404A"/>
    <w:rsid w:val="77262D3B"/>
    <w:rsid w:val="773D55E5"/>
    <w:rsid w:val="775F0BD6"/>
    <w:rsid w:val="7783684C"/>
    <w:rsid w:val="77CD7D3B"/>
    <w:rsid w:val="77FD2C32"/>
    <w:rsid w:val="78070438"/>
    <w:rsid w:val="781E731D"/>
    <w:rsid w:val="784477C8"/>
    <w:rsid w:val="788D198B"/>
    <w:rsid w:val="78A71389"/>
    <w:rsid w:val="78B40FAB"/>
    <w:rsid w:val="78E324EF"/>
    <w:rsid w:val="78E6094A"/>
    <w:rsid w:val="796D4B04"/>
    <w:rsid w:val="79E757D4"/>
    <w:rsid w:val="7A635C64"/>
    <w:rsid w:val="7A801B55"/>
    <w:rsid w:val="7AAC0AB8"/>
    <w:rsid w:val="7ACD5989"/>
    <w:rsid w:val="7AE87701"/>
    <w:rsid w:val="7B0F7299"/>
    <w:rsid w:val="7B1E6FA5"/>
    <w:rsid w:val="7B6E31D1"/>
    <w:rsid w:val="7BD43CC2"/>
    <w:rsid w:val="7BD935F5"/>
    <w:rsid w:val="7C0572C1"/>
    <w:rsid w:val="7C115B36"/>
    <w:rsid w:val="7C125500"/>
    <w:rsid w:val="7C1E5A89"/>
    <w:rsid w:val="7C4E5AE8"/>
    <w:rsid w:val="7C8D3A9E"/>
    <w:rsid w:val="7CDA138E"/>
    <w:rsid w:val="7D1271F6"/>
    <w:rsid w:val="7DB155BC"/>
    <w:rsid w:val="7E185814"/>
    <w:rsid w:val="7E262235"/>
    <w:rsid w:val="7E9006F1"/>
    <w:rsid w:val="7F3A3328"/>
    <w:rsid w:val="7F413B32"/>
    <w:rsid w:val="7FB40037"/>
    <w:rsid w:val="7FBD3767"/>
    <w:rsid w:val="7FDA2DF6"/>
    <w:rsid w:val="7FEB1B85"/>
  </w:rsids>
  <m:mathPr>
    <m:mathFont m:val="Cambria Math"/>
    <m:brkBin m:val="before"/>
    <m:brkBinSub m:val="--"/>
    <m:smallFrac m:val="0"/>
    <m:dispDef/>
    <m:lMargin m:val="0"/>
    <m:rMargin m:val="0"/>
    <m:defJc m:val="centerGroup"/>
    <m:wrapIndent m:val="1440"/>
    <m:intLim m:val="subSup"/>
    <m:naryLim m:val="undOvr"/>
  </m:mathPr>
  <w:themeFontLang w:val="en-US" w:eastAsia="zh-CN" w:bidi="bo-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nhideWhenUsed="0" w:uiPriority="0" w:semiHidden="0" w:name="Normal Indent"/>
    <w:lsdException w:unhideWhenUsed="0" w:uiPriority="0" w:semiHidden="0" w:name="footnote text"/>
    <w:lsdException w:qFormat="1" w:uiPriority="99"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99"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99" w:semiHidden="0" w:name="Body Text"/>
    <w:lsdException w:qFormat="1" w:uiPriority="99"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iPriority="99"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360" w:lineRule="auto"/>
      <w:ind w:firstLine="200" w:firstLineChars="200"/>
      <w:jc w:val="both"/>
    </w:pPr>
    <w:rPr>
      <w:rFonts w:ascii="Times New Roman" w:hAnsi="Times New Roman" w:eastAsia="仿宋" w:cstheme="minorBidi"/>
      <w:kern w:val="2"/>
      <w:sz w:val="28"/>
      <w:szCs w:val="24"/>
      <w:lang w:val="en-US" w:eastAsia="zh-CN" w:bidi="ar-SA"/>
    </w:rPr>
  </w:style>
  <w:style w:type="paragraph" w:styleId="4">
    <w:name w:val="heading 1"/>
    <w:basedOn w:val="1"/>
    <w:next w:val="1"/>
    <w:autoRedefine/>
    <w:qFormat/>
    <w:uiPriority w:val="0"/>
    <w:pPr>
      <w:keepNext/>
      <w:keepLines/>
      <w:pageBreakBefore/>
      <w:numPr>
        <w:ilvl w:val="0"/>
        <w:numId w:val="1"/>
      </w:numPr>
      <w:spacing w:after="100" w:afterLines="100"/>
      <w:ind w:left="0" w:firstLine="0" w:firstLineChars="0"/>
      <w:jc w:val="center"/>
      <w:outlineLvl w:val="0"/>
    </w:pPr>
    <w:rPr>
      <w:rFonts w:eastAsia="黑体"/>
      <w:kern w:val="44"/>
      <w:sz w:val="36"/>
    </w:rPr>
  </w:style>
  <w:style w:type="paragraph" w:styleId="5">
    <w:name w:val="heading 2"/>
    <w:basedOn w:val="1"/>
    <w:next w:val="1"/>
    <w:autoRedefine/>
    <w:unhideWhenUsed/>
    <w:qFormat/>
    <w:uiPriority w:val="0"/>
    <w:pPr>
      <w:keepNext/>
      <w:keepLines/>
      <w:numPr>
        <w:ilvl w:val="1"/>
        <w:numId w:val="1"/>
      </w:numPr>
      <w:spacing w:before="50" w:beforeLines="50"/>
      <w:ind w:firstLineChars="0"/>
      <w:outlineLvl w:val="1"/>
    </w:pPr>
    <w:rPr>
      <w:rFonts w:eastAsia="黑体"/>
      <w:sz w:val="30"/>
    </w:rPr>
  </w:style>
  <w:style w:type="paragraph" w:styleId="6">
    <w:name w:val="heading 3"/>
    <w:basedOn w:val="1"/>
    <w:next w:val="1"/>
    <w:link w:val="51"/>
    <w:autoRedefine/>
    <w:unhideWhenUsed/>
    <w:qFormat/>
    <w:uiPriority w:val="0"/>
    <w:pPr>
      <w:keepNext/>
      <w:keepLines/>
      <w:numPr>
        <w:ilvl w:val="2"/>
        <w:numId w:val="1"/>
      </w:numPr>
      <w:tabs>
        <w:tab w:val="left" w:pos="420"/>
      </w:tabs>
      <w:ind w:firstLineChars="0"/>
      <w:outlineLvl w:val="2"/>
    </w:pPr>
    <w:rPr>
      <w:rFonts w:eastAsia="黑体" w:asciiTheme="minorHAnsi" w:hAnsiTheme="minorHAnsi"/>
    </w:rPr>
  </w:style>
  <w:style w:type="paragraph" w:styleId="7">
    <w:name w:val="heading 4"/>
    <w:basedOn w:val="1"/>
    <w:next w:val="1"/>
    <w:autoRedefine/>
    <w:unhideWhenUsed/>
    <w:qFormat/>
    <w:uiPriority w:val="0"/>
    <w:pPr>
      <w:keepNext/>
      <w:keepLines/>
      <w:numPr>
        <w:ilvl w:val="3"/>
        <w:numId w:val="1"/>
      </w:numPr>
      <w:spacing w:before="280" w:after="290" w:line="372" w:lineRule="auto"/>
      <w:ind w:firstLineChars="0"/>
      <w:outlineLvl w:val="3"/>
    </w:pPr>
    <w:rPr>
      <w:rFonts w:ascii="Arial" w:hAnsi="Arial" w:eastAsia="黑体"/>
      <w:b/>
    </w:rPr>
  </w:style>
  <w:style w:type="paragraph" w:styleId="8">
    <w:name w:val="heading 5"/>
    <w:basedOn w:val="1"/>
    <w:next w:val="1"/>
    <w:autoRedefine/>
    <w:semiHidden/>
    <w:unhideWhenUsed/>
    <w:qFormat/>
    <w:uiPriority w:val="0"/>
    <w:pPr>
      <w:keepNext/>
      <w:keepLines/>
      <w:numPr>
        <w:ilvl w:val="4"/>
        <w:numId w:val="1"/>
      </w:numPr>
      <w:spacing w:before="280" w:after="290" w:line="372" w:lineRule="auto"/>
      <w:ind w:firstLine="0" w:firstLineChars="0"/>
      <w:outlineLvl w:val="4"/>
    </w:pPr>
    <w:rPr>
      <w:b/>
    </w:rPr>
  </w:style>
  <w:style w:type="paragraph" w:styleId="9">
    <w:name w:val="heading 6"/>
    <w:basedOn w:val="1"/>
    <w:next w:val="1"/>
    <w:autoRedefine/>
    <w:semiHidden/>
    <w:unhideWhenUsed/>
    <w:qFormat/>
    <w:uiPriority w:val="0"/>
    <w:pPr>
      <w:keepNext/>
      <w:keepLines/>
      <w:numPr>
        <w:ilvl w:val="5"/>
        <w:numId w:val="1"/>
      </w:numPr>
      <w:spacing w:before="240" w:after="64" w:line="317" w:lineRule="auto"/>
      <w:ind w:firstLine="0" w:firstLineChars="0"/>
      <w:outlineLvl w:val="5"/>
    </w:pPr>
    <w:rPr>
      <w:rFonts w:ascii="Arial" w:hAnsi="Arial" w:eastAsia="黑体"/>
      <w:b/>
      <w:sz w:val="24"/>
    </w:rPr>
  </w:style>
  <w:style w:type="paragraph" w:styleId="10">
    <w:name w:val="heading 7"/>
    <w:basedOn w:val="1"/>
    <w:next w:val="1"/>
    <w:autoRedefine/>
    <w:semiHidden/>
    <w:unhideWhenUsed/>
    <w:qFormat/>
    <w:uiPriority w:val="0"/>
    <w:pPr>
      <w:keepNext/>
      <w:keepLines/>
      <w:numPr>
        <w:ilvl w:val="6"/>
        <w:numId w:val="1"/>
      </w:numPr>
      <w:spacing w:before="240" w:after="64" w:line="317" w:lineRule="auto"/>
      <w:ind w:firstLine="0" w:firstLineChars="0"/>
      <w:outlineLvl w:val="6"/>
    </w:pPr>
    <w:rPr>
      <w:b/>
      <w:sz w:val="24"/>
    </w:rPr>
  </w:style>
  <w:style w:type="paragraph" w:styleId="11">
    <w:name w:val="heading 8"/>
    <w:basedOn w:val="1"/>
    <w:next w:val="1"/>
    <w:autoRedefine/>
    <w:semiHidden/>
    <w:unhideWhenUsed/>
    <w:qFormat/>
    <w:uiPriority w:val="0"/>
    <w:pPr>
      <w:keepNext/>
      <w:keepLines/>
      <w:numPr>
        <w:ilvl w:val="7"/>
        <w:numId w:val="1"/>
      </w:numPr>
      <w:spacing w:before="240" w:after="64" w:line="317" w:lineRule="auto"/>
      <w:ind w:firstLine="0" w:firstLineChars="0"/>
      <w:outlineLvl w:val="7"/>
    </w:pPr>
    <w:rPr>
      <w:rFonts w:ascii="Arial" w:hAnsi="Arial" w:eastAsia="黑体"/>
      <w:sz w:val="24"/>
    </w:rPr>
  </w:style>
  <w:style w:type="paragraph" w:styleId="12">
    <w:name w:val="heading 9"/>
    <w:basedOn w:val="1"/>
    <w:next w:val="1"/>
    <w:autoRedefine/>
    <w:semiHidden/>
    <w:unhideWhenUsed/>
    <w:qFormat/>
    <w:uiPriority w:val="0"/>
    <w:pPr>
      <w:keepNext/>
      <w:keepLines/>
      <w:numPr>
        <w:ilvl w:val="8"/>
        <w:numId w:val="1"/>
      </w:numPr>
      <w:spacing w:before="240" w:after="64" w:line="317" w:lineRule="auto"/>
      <w:ind w:firstLine="0" w:firstLineChars="0"/>
      <w:outlineLvl w:val="8"/>
    </w:pPr>
    <w:rPr>
      <w:rFonts w:ascii="Arial" w:hAnsi="Arial" w:eastAsia="黑体"/>
      <w:sz w:val="21"/>
    </w:rPr>
  </w:style>
  <w:style w:type="character" w:default="1" w:styleId="34">
    <w:name w:val="Default Paragraph Font"/>
    <w:autoRedefine/>
    <w:semiHidden/>
    <w:unhideWhenUsed/>
    <w:qFormat/>
    <w:uiPriority w:val="1"/>
  </w:style>
  <w:style w:type="table" w:default="1" w:styleId="32">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autoRedefine/>
    <w:unhideWhenUsed/>
    <w:qFormat/>
    <w:uiPriority w:val="99"/>
    <w:pPr>
      <w:widowControl/>
      <w:autoSpaceDE w:val="0"/>
      <w:autoSpaceDN w:val="0"/>
      <w:adjustRightInd w:val="0"/>
      <w:snapToGrid w:val="0"/>
      <w:spacing w:line="360" w:lineRule="auto"/>
      <w:ind w:firstLine="420" w:firstLineChars="200"/>
      <w:jc w:val="left"/>
      <w:textAlignment w:val="baseline"/>
    </w:pPr>
    <w:rPr>
      <w:rFonts w:ascii="Times New Roman" w:hAnsi="Times New Roman" w:eastAsia="仿宋" w:cs="Arial"/>
      <w:snapToGrid w:val="0"/>
      <w:color w:val="000000"/>
      <w:kern w:val="0"/>
      <w:sz w:val="28"/>
      <w:szCs w:val="21"/>
    </w:rPr>
  </w:style>
  <w:style w:type="paragraph" w:styleId="3">
    <w:name w:val="Body Text Indent"/>
    <w:basedOn w:val="1"/>
    <w:autoRedefine/>
    <w:semiHidden/>
    <w:unhideWhenUsed/>
    <w:qFormat/>
    <w:uiPriority w:val="99"/>
    <w:pPr>
      <w:widowControl w:val="0"/>
      <w:autoSpaceDE/>
      <w:autoSpaceDN/>
      <w:adjustRightInd/>
      <w:snapToGrid/>
      <w:spacing w:after="120" w:line="240" w:lineRule="auto"/>
      <w:ind w:left="420" w:leftChars="200" w:firstLine="0" w:firstLineChars="0"/>
      <w:jc w:val="both"/>
      <w:textAlignment w:val="auto"/>
    </w:pPr>
    <w:rPr>
      <w:rFonts w:asciiTheme="minorHAnsi" w:hAnsiTheme="minorHAnsi" w:eastAsiaTheme="minorEastAsia" w:cstheme="minorBidi"/>
      <w:snapToGrid/>
      <w:color w:val="auto"/>
      <w:kern w:val="2"/>
      <w:sz w:val="21"/>
      <w:szCs w:val="22"/>
    </w:rPr>
  </w:style>
  <w:style w:type="paragraph" w:styleId="13">
    <w:name w:val="toc 7"/>
    <w:basedOn w:val="1"/>
    <w:next w:val="1"/>
    <w:autoRedefine/>
    <w:unhideWhenUsed/>
    <w:qFormat/>
    <w:uiPriority w:val="39"/>
    <w:pPr>
      <w:ind w:left="1680"/>
      <w:jc w:val="left"/>
    </w:pPr>
    <w:rPr>
      <w:rFonts w:asciiTheme="minorHAnsi" w:hAnsiTheme="minorHAnsi" w:cstheme="minorHAnsi"/>
      <w:sz w:val="18"/>
      <w:szCs w:val="18"/>
    </w:rPr>
  </w:style>
  <w:style w:type="paragraph" w:styleId="14">
    <w:name w:val="caption"/>
    <w:basedOn w:val="1"/>
    <w:next w:val="1"/>
    <w:link w:val="52"/>
    <w:autoRedefine/>
    <w:unhideWhenUsed/>
    <w:qFormat/>
    <w:uiPriority w:val="0"/>
    <w:pPr>
      <w:spacing w:before="50" w:beforeLines="50" w:after="50" w:afterLines="50" w:line="240" w:lineRule="auto"/>
      <w:ind w:firstLine="0" w:firstLineChars="0"/>
      <w:jc w:val="center"/>
    </w:pPr>
    <w:rPr>
      <w:rFonts w:eastAsia="黑体" w:cstheme="majorBidi"/>
      <w:sz w:val="21"/>
      <w:szCs w:val="20"/>
    </w:rPr>
  </w:style>
  <w:style w:type="paragraph" w:styleId="15">
    <w:name w:val="annotation text"/>
    <w:basedOn w:val="1"/>
    <w:link w:val="42"/>
    <w:autoRedefine/>
    <w:unhideWhenUsed/>
    <w:qFormat/>
    <w:uiPriority w:val="99"/>
    <w:pPr>
      <w:jc w:val="left"/>
    </w:pPr>
    <w:rPr>
      <w:szCs w:val="22"/>
    </w:rPr>
  </w:style>
  <w:style w:type="paragraph" w:styleId="16">
    <w:name w:val="Body Text"/>
    <w:basedOn w:val="1"/>
    <w:link w:val="83"/>
    <w:autoRedefine/>
    <w:qFormat/>
    <w:uiPriority w:val="99"/>
    <w:pPr>
      <w:spacing w:after="120"/>
    </w:pPr>
  </w:style>
  <w:style w:type="paragraph" w:styleId="17">
    <w:name w:val="toc 5"/>
    <w:basedOn w:val="1"/>
    <w:next w:val="1"/>
    <w:autoRedefine/>
    <w:unhideWhenUsed/>
    <w:qFormat/>
    <w:uiPriority w:val="39"/>
    <w:pPr>
      <w:ind w:left="1120"/>
      <w:jc w:val="left"/>
    </w:pPr>
    <w:rPr>
      <w:rFonts w:asciiTheme="minorHAnsi" w:hAnsiTheme="minorHAnsi" w:cstheme="minorHAnsi"/>
      <w:sz w:val="18"/>
      <w:szCs w:val="18"/>
    </w:rPr>
  </w:style>
  <w:style w:type="paragraph" w:styleId="18">
    <w:name w:val="toc 3"/>
    <w:basedOn w:val="1"/>
    <w:next w:val="1"/>
    <w:autoRedefine/>
    <w:qFormat/>
    <w:uiPriority w:val="39"/>
    <w:pPr>
      <w:ind w:left="560"/>
      <w:jc w:val="left"/>
    </w:pPr>
    <w:rPr>
      <w:rFonts w:asciiTheme="minorHAnsi" w:hAnsiTheme="minorHAnsi" w:cstheme="minorHAnsi"/>
      <w:i/>
      <w:iCs/>
      <w:sz w:val="20"/>
      <w:szCs w:val="20"/>
    </w:rPr>
  </w:style>
  <w:style w:type="paragraph" w:styleId="19">
    <w:name w:val="toc 8"/>
    <w:basedOn w:val="1"/>
    <w:next w:val="1"/>
    <w:autoRedefine/>
    <w:unhideWhenUsed/>
    <w:qFormat/>
    <w:uiPriority w:val="39"/>
    <w:pPr>
      <w:ind w:left="1960"/>
      <w:jc w:val="left"/>
    </w:pPr>
    <w:rPr>
      <w:rFonts w:asciiTheme="minorHAnsi" w:hAnsiTheme="minorHAnsi" w:cstheme="minorHAnsi"/>
      <w:sz w:val="18"/>
      <w:szCs w:val="18"/>
    </w:rPr>
  </w:style>
  <w:style w:type="paragraph" w:styleId="20">
    <w:name w:val="Date"/>
    <w:basedOn w:val="1"/>
    <w:next w:val="1"/>
    <w:link w:val="49"/>
    <w:autoRedefine/>
    <w:qFormat/>
    <w:uiPriority w:val="0"/>
    <w:pPr>
      <w:ind w:left="100" w:leftChars="2500"/>
    </w:pPr>
  </w:style>
  <w:style w:type="paragraph" w:styleId="21">
    <w:name w:val="Body Text Indent 2"/>
    <w:basedOn w:val="1"/>
    <w:autoRedefine/>
    <w:qFormat/>
    <w:uiPriority w:val="0"/>
    <w:pPr>
      <w:ind w:right="44" w:firstLine="570"/>
    </w:pPr>
  </w:style>
  <w:style w:type="paragraph" w:styleId="22">
    <w:name w:val="Balloon Text"/>
    <w:basedOn w:val="1"/>
    <w:link w:val="81"/>
    <w:autoRedefine/>
    <w:qFormat/>
    <w:uiPriority w:val="0"/>
    <w:pPr>
      <w:spacing w:line="240" w:lineRule="auto"/>
    </w:pPr>
    <w:rPr>
      <w:sz w:val="18"/>
      <w:szCs w:val="18"/>
    </w:rPr>
  </w:style>
  <w:style w:type="paragraph" w:styleId="23">
    <w:name w:val="footer"/>
    <w:basedOn w:val="1"/>
    <w:link w:val="41"/>
    <w:autoRedefine/>
    <w:qFormat/>
    <w:uiPriority w:val="99"/>
    <w:pPr>
      <w:tabs>
        <w:tab w:val="center" w:pos="4153"/>
        <w:tab w:val="right" w:pos="8306"/>
      </w:tabs>
      <w:snapToGrid w:val="0"/>
      <w:jc w:val="left"/>
    </w:pPr>
    <w:rPr>
      <w:sz w:val="18"/>
      <w:szCs w:val="18"/>
    </w:rPr>
  </w:style>
  <w:style w:type="paragraph" w:styleId="24">
    <w:name w:val="header"/>
    <w:basedOn w:val="1"/>
    <w:link w:val="40"/>
    <w:autoRedefine/>
    <w:qFormat/>
    <w:uiPriority w:val="0"/>
    <w:pPr>
      <w:pBdr>
        <w:bottom w:val="single" w:color="auto" w:sz="6" w:space="1"/>
      </w:pBdr>
      <w:tabs>
        <w:tab w:val="center" w:pos="4153"/>
        <w:tab w:val="right" w:pos="8306"/>
      </w:tabs>
      <w:snapToGrid w:val="0"/>
      <w:jc w:val="center"/>
    </w:pPr>
    <w:rPr>
      <w:sz w:val="18"/>
      <w:szCs w:val="18"/>
    </w:rPr>
  </w:style>
  <w:style w:type="paragraph" w:styleId="25">
    <w:name w:val="toc 1"/>
    <w:basedOn w:val="1"/>
    <w:next w:val="1"/>
    <w:autoRedefine/>
    <w:qFormat/>
    <w:uiPriority w:val="39"/>
    <w:pPr>
      <w:spacing w:before="120" w:after="120"/>
      <w:jc w:val="left"/>
    </w:pPr>
    <w:rPr>
      <w:rFonts w:asciiTheme="minorHAnsi" w:hAnsiTheme="minorHAnsi" w:cstheme="minorHAnsi"/>
      <w:b/>
      <w:bCs/>
      <w:caps/>
      <w:sz w:val="20"/>
      <w:szCs w:val="20"/>
    </w:rPr>
  </w:style>
  <w:style w:type="paragraph" w:styleId="26">
    <w:name w:val="toc 4"/>
    <w:basedOn w:val="1"/>
    <w:next w:val="1"/>
    <w:autoRedefine/>
    <w:unhideWhenUsed/>
    <w:qFormat/>
    <w:uiPriority w:val="39"/>
    <w:pPr>
      <w:ind w:left="840"/>
      <w:jc w:val="left"/>
    </w:pPr>
    <w:rPr>
      <w:rFonts w:asciiTheme="minorHAnsi" w:hAnsiTheme="minorHAnsi" w:cstheme="minorHAnsi"/>
      <w:sz w:val="18"/>
      <w:szCs w:val="18"/>
    </w:rPr>
  </w:style>
  <w:style w:type="paragraph" w:styleId="27">
    <w:name w:val="toc 6"/>
    <w:basedOn w:val="1"/>
    <w:next w:val="1"/>
    <w:autoRedefine/>
    <w:unhideWhenUsed/>
    <w:qFormat/>
    <w:uiPriority w:val="39"/>
    <w:pPr>
      <w:ind w:left="1400"/>
      <w:jc w:val="left"/>
    </w:pPr>
    <w:rPr>
      <w:rFonts w:asciiTheme="minorHAnsi" w:hAnsiTheme="minorHAnsi" w:cstheme="minorHAnsi"/>
      <w:sz w:val="18"/>
      <w:szCs w:val="18"/>
    </w:rPr>
  </w:style>
  <w:style w:type="paragraph" w:styleId="28">
    <w:name w:val="toc 2"/>
    <w:basedOn w:val="1"/>
    <w:next w:val="1"/>
    <w:autoRedefine/>
    <w:qFormat/>
    <w:uiPriority w:val="39"/>
    <w:pPr>
      <w:ind w:left="280"/>
      <w:jc w:val="left"/>
    </w:pPr>
    <w:rPr>
      <w:rFonts w:asciiTheme="minorHAnsi" w:hAnsiTheme="minorHAnsi" w:cstheme="minorHAnsi"/>
      <w:smallCaps/>
      <w:sz w:val="20"/>
      <w:szCs w:val="20"/>
    </w:rPr>
  </w:style>
  <w:style w:type="paragraph" w:styleId="29">
    <w:name w:val="toc 9"/>
    <w:basedOn w:val="1"/>
    <w:next w:val="1"/>
    <w:autoRedefine/>
    <w:unhideWhenUsed/>
    <w:qFormat/>
    <w:uiPriority w:val="39"/>
    <w:pPr>
      <w:ind w:left="2240"/>
      <w:jc w:val="left"/>
    </w:pPr>
    <w:rPr>
      <w:rFonts w:asciiTheme="minorHAnsi" w:hAnsiTheme="minorHAnsi" w:cstheme="minorHAnsi"/>
      <w:sz w:val="18"/>
      <w:szCs w:val="18"/>
    </w:rPr>
  </w:style>
  <w:style w:type="paragraph" w:styleId="30">
    <w:name w:val="Normal (Web)"/>
    <w:basedOn w:val="1"/>
    <w:autoRedefine/>
    <w:qFormat/>
    <w:uiPriority w:val="0"/>
    <w:pPr>
      <w:spacing w:beforeAutospacing="1" w:afterAutospacing="1"/>
      <w:jc w:val="left"/>
    </w:pPr>
    <w:rPr>
      <w:rFonts w:cs="Times New Roman"/>
      <w:kern w:val="0"/>
      <w:sz w:val="24"/>
    </w:rPr>
  </w:style>
  <w:style w:type="paragraph" w:styleId="31">
    <w:name w:val="annotation subject"/>
    <w:basedOn w:val="15"/>
    <w:next w:val="15"/>
    <w:link w:val="43"/>
    <w:autoRedefine/>
    <w:qFormat/>
    <w:uiPriority w:val="0"/>
    <w:rPr>
      <w:b/>
      <w:bCs/>
      <w:szCs w:val="24"/>
    </w:rPr>
  </w:style>
  <w:style w:type="table" w:styleId="33">
    <w:name w:val="Table Grid"/>
    <w:basedOn w:val="32"/>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Strong"/>
    <w:basedOn w:val="34"/>
    <w:autoRedefine/>
    <w:qFormat/>
    <w:uiPriority w:val="0"/>
    <w:rPr>
      <w:b/>
    </w:rPr>
  </w:style>
  <w:style w:type="character" w:styleId="36">
    <w:name w:val="FollowedHyperlink"/>
    <w:basedOn w:val="34"/>
    <w:autoRedefine/>
    <w:unhideWhenUsed/>
    <w:qFormat/>
    <w:uiPriority w:val="99"/>
    <w:rPr>
      <w:color w:val="954F72"/>
      <w:u w:val="single"/>
    </w:rPr>
  </w:style>
  <w:style w:type="character" w:styleId="37">
    <w:name w:val="Hyperlink"/>
    <w:basedOn w:val="34"/>
    <w:autoRedefine/>
    <w:unhideWhenUsed/>
    <w:qFormat/>
    <w:uiPriority w:val="99"/>
    <w:rPr>
      <w:color w:val="0563C1" w:themeColor="hyperlink"/>
      <w:u w:val="single"/>
      <w14:textFill>
        <w14:solidFill>
          <w14:schemeClr w14:val="hlink"/>
        </w14:solidFill>
      </w14:textFill>
    </w:rPr>
  </w:style>
  <w:style w:type="character" w:styleId="38">
    <w:name w:val="annotation reference"/>
    <w:basedOn w:val="34"/>
    <w:autoRedefine/>
    <w:unhideWhenUsed/>
    <w:qFormat/>
    <w:uiPriority w:val="99"/>
    <w:rPr>
      <w:sz w:val="21"/>
      <w:szCs w:val="21"/>
    </w:rPr>
  </w:style>
  <w:style w:type="paragraph" w:customStyle="1" w:styleId="39">
    <w:name w:val="Default"/>
    <w:autoRedefine/>
    <w:unhideWhenUsed/>
    <w:qFormat/>
    <w:uiPriority w:val="99"/>
    <w:pPr>
      <w:widowControl w:val="0"/>
      <w:autoSpaceDE w:val="0"/>
      <w:autoSpaceDN w:val="0"/>
      <w:adjustRightInd w:val="0"/>
    </w:pPr>
    <w:rPr>
      <w:rFonts w:hint="eastAsia" w:ascii="黑体" w:hAnsi="黑体" w:eastAsia="黑体" w:cs="Times New Roman"/>
      <w:color w:val="000000"/>
      <w:sz w:val="24"/>
      <w:szCs w:val="24"/>
      <w:lang w:val="en-US" w:eastAsia="zh-CN" w:bidi="ar-SA"/>
    </w:rPr>
  </w:style>
  <w:style w:type="character" w:customStyle="1" w:styleId="40">
    <w:name w:val="页眉 字符"/>
    <w:basedOn w:val="34"/>
    <w:link w:val="24"/>
    <w:autoRedefine/>
    <w:qFormat/>
    <w:uiPriority w:val="0"/>
    <w:rPr>
      <w:rFonts w:asciiTheme="minorHAnsi" w:hAnsiTheme="minorHAnsi" w:eastAsiaTheme="minorEastAsia" w:cstheme="minorBidi"/>
      <w:kern w:val="2"/>
      <w:sz w:val="18"/>
      <w:szCs w:val="18"/>
    </w:rPr>
  </w:style>
  <w:style w:type="character" w:customStyle="1" w:styleId="41">
    <w:name w:val="页脚 字符"/>
    <w:basedOn w:val="34"/>
    <w:link w:val="23"/>
    <w:autoRedefine/>
    <w:qFormat/>
    <w:uiPriority w:val="99"/>
    <w:rPr>
      <w:rFonts w:asciiTheme="minorHAnsi" w:hAnsiTheme="minorHAnsi" w:eastAsiaTheme="minorEastAsia" w:cstheme="minorBidi"/>
      <w:kern w:val="2"/>
      <w:sz w:val="18"/>
      <w:szCs w:val="18"/>
    </w:rPr>
  </w:style>
  <w:style w:type="character" w:customStyle="1" w:styleId="42">
    <w:name w:val="批注文字 字符"/>
    <w:basedOn w:val="34"/>
    <w:link w:val="15"/>
    <w:autoRedefine/>
    <w:qFormat/>
    <w:uiPriority w:val="99"/>
    <w:rPr>
      <w:rFonts w:asciiTheme="minorHAnsi" w:hAnsiTheme="minorHAnsi" w:eastAsiaTheme="minorEastAsia" w:cstheme="minorBidi"/>
      <w:kern w:val="2"/>
      <w:sz w:val="21"/>
      <w:szCs w:val="22"/>
    </w:rPr>
  </w:style>
  <w:style w:type="character" w:customStyle="1" w:styleId="43">
    <w:name w:val="批注主题 字符"/>
    <w:basedOn w:val="42"/>
    <w:link w:val="31"/>
    <w:autoRedefine/>
    <w:qFormat/>
    <w:uiPriority w:val="0"/>
    <w:rPr>
      <w:rFonts w:asciiTheme="minorHAnsi" w:hAnsiTheme="minorHAnsi" w:eastAsiaTheme="minorEastAsia" w:cstheme="minorBidi"/>
      <w:b/>
      <w:bCs/>
      <w:kern w:val="2"/>
      <w:sz w:val="28"/>
      <w:szCs w:val="24"/>
    </w:rPr>
  </w:style>
  <w:style w:type="paragraph" w:customStyle="1" w:styleId="44">
    <w:name w:val="表头"/>
    <w:basedOn w:val="1"/>
    <w:link w:val="46"/>
    <w:autoRedefine/>
    <w:qFormat/>
    <w:uiPriority w:val="0"/>
    <w:pPr>
      <w:spacing w:line="240" w:lineRule="auto"/>
      <w:ind w:firstLine="0" w:firstLineChars="0"/>
      <w:jc w:val="center"/>
    </w:pPr>
    <w:rPr>
      <w:rFonts w:eastAsia="黑体"/>
      <w:b/>
      <w:sz w:val="21"/>
    </w:rPr>
  </w:style>
  <w:style w:type="paragraph" w:customStyle="1" w:styleId="45">
    <w:name w:val="表格内容"/>
    <w:basedOn w:val="44"/>
    <w:link w:val="48"/>
    <w:autoRedefine/>
    <w:qFormat/>
    <w:uiPriority w:val="0"/>
    <w:rPr>
      <w:rFonts w:eastAsia="宋体"/>
      <w:b w:val="0"/>
      <w:sz w:val="24"/>
    </w:rPr>
  </w:style>
  <w:style w:type="character" w:customStyle="1" w:styleId="46">
    <w:name w:val="表头 字符"/>
    <w:basedOn w:val="34"/>
    <w:link w:val="44"/>
    <w:autoRedefine/>
    <w:qFormat/>
    <w:uiPriority w:val="0"/>
    <w:rPr>
      <w:rFonts w:eastAsia="黑体" w:cstheme="minorBidi"/>
      <w:b/>
      <w:kern w:val="2"/>
      <w:sz w:val="21"/>
      <w:szCs w:val="24"/>
    </w:rPr>
  </w:style>
  <w:style w:type="paragraph" w:styleId="47">
    <w:name w:val="List Paragraph"/>
    <w:basedOn w:val="1"/>
    <w:autoRedefine/>
    <w:qFormat/>
    <w:uiPriority w:val="99"/>
    <w:pPr>
      <w:ind w:firstLine="420"/>
    </w:pPr>
  </w:style>
  <w:style w:type="character" w:customStyle="1" w:styleId="48">
    <w:name w:val="表格内容 字符"/>
    <w:basedOn w:val="46"/>
    <w:link w:val="45"/>
    <w:autoRedefine/>
    <w:qFormat/>
    <w:uiPriority w:val="0"/>
    <w:rPr>
      <w:rFonts w:eastAsia="黑体" w:cstheme="minorBidi"/>
      <w:b w:val="0"/>
      <w:kern w:val="2"/>
      <w:sz w:val="24"/>
      <w:szCs w:val="24"/>
    </w:rPr>
  </w:style>
  <w:style w:type="character" w:customStyle="1" w:styleId="49">
    <w:name w:val="日期 字符"/>
    <w:basedOn w:val="34"/>
    <w:link w:val="20"/>
    <w:autoRedefine/>
    <w:qFormat/>
    <w:uiPriority w:val="0"/>
    <w:rPr>
      <w:rFonts w:eastAsiaTheme="minorEastAsia" w:cstheme="minorBidi"/>
      <w:kern w:val="2"/>
      <w:sz w:val="28"/>
      <w:szCs w:val="24"/>
    </w:rPr>
  </w:style>
  <w:style w:type="character" w:customStyle="1" w:styleId="50">
    <w:name w:val="fontstyle01"/>
    <w:basedOn w:val="34"/>
    <w:autoRedefine/>
    <w:qFormat/>
    <w:uiPriority w:val="0"/>
    <w:rPr>
      <w:rFonts w:hint="eastAsia" w:ascii="楷体" w:hAnsi="楷体" w:eastAsia="楷体"/>
      <w:color w:val="0D0D0D"/>
      <w:sz w:val="22"/>
      <w:szCs w:val="22"/>
    </w:rPr>
  </w:style>
  <w:style w:type="character" w:customStyle="1" w:styleId="51">
    <w:name w:val="标题 3 字符"/>
    <w:link w:val="6"/>
    <w:autoRedefine/>
    <w:qFormat/>
    <w:uiPriority w:val="0"/>
    <w:rPr>
      <w:rFonts w:eastAsia="黑体" w:asciiTheme="minorHAnsi" w:hAnsiTheme="minorHAnsi" w:cstheme="minorBidi"/>
      <w:kern w:val="2"/>
      <w:sz w:val="28"/>
      <w:szCs w:val="24"/>
    </w:rPr>
  </w:style>
  <w:style w:type="character" w:customStyle="1" w:styleId="52">
    <w:name w:val="题注 字符"/>
    <w:link w:val="14"/>
    <w:autoRedefine/>
    <w:qFormat/>
    <w:uiPriority w:val="0"/>
    <w:rPr>
      <w:rFonts w:eastAsia="黑体" w:cstheme="majorBidi"/>
      <w:kern w:val="2"/>
      <w:sz w:val="21"/>
    </w:rPr>
  </w:style>
  <w:style w:type="paragraph" w:customStyle="1" w:styleId="53">
    <w:name w:val="TOC 标题1"/>
    <w:basedOn w:val="4"/>
    <w:next w:val="1"/>
    <w:autoRedefine/>
    <w:unhideWhenUsed/>
    <w:qFormat/>
    <w:uiPriority w:val="39"/>
    <w:pPr>
      <w:pageBreakBefore w:val="0"/>
      <w:widowControl/>
      <w:numPr>
        <w:numId w:val="0"/>
      </w:numPr>
      <w:spacing w:after="0" w:line="259" w:lineRule="auto"/>
      <w:jc w:val="left"/>
      <w:outlineLvl w:val="9"/>
    </w:pPr>
    <w:rPr>
      <w:rFonts w:asciiTheme="majorHAnsi" w:hAnsiTheme="majorHAnsi" w:eastAsiaTheme="majorEastAsia" w:cstheme="majorBidi"/>
      <w:b/>
      <w:color w:val="2E75B6" w:themeColor="accent1" w:themeShade="BF"/>
      <w:kern w:val="0"/>
      <w:sz w:val="32"/>
      <w:szCs w:val="32"/>
    </w:rPr>
  </w:style>
  <w:style w:type="character" w:customStyle="1" w:styleId="54">
    <w:name w:val="未处理的提及1"/>
    <w:basedOn w:val="34"/>
    <w:autoRedefine/>
    <w:semiHidden/>
    <w:unhideWhenUsed/>
    <w:qFormat/>
    <w:uiPriority w:val="99"/>
    <w:rPr>
      <w:color w:val="605E5C"/>
      <w:shd w:val="clear" w:color="auto" w:fill="E1DFDD"/>
    </w:rPr>
  </w:style>
  <w:style w:type="paragraph" w:customStyle="1" w:styleId="55">
    <w:name w:val="msonormal"/>
    <w:basedOn w:val="1"/>
    <w:autoRedefine/>
    <w:qFormat/>
    <w:uiPriority w:val="0"/>
    <w:pPr>
      <w:widowControl/>
      <w:spacing w:before="100" w:beforeAutospacing="1" w:after="100" w:afterAutospacing="1" w:line="240" w:lineRule="auto"/>
      <w:ind w:firstLine="0" w:firstLineChars="0"/>
      <w:jc w:val="left"/>
    </w:pPr>
    <w:rPr>
      <w:rFonts w:ascii="宋体" w:hAnsi="宋体" w:eastAsia="宋体" w:cs="宋体"/>
      <w:kern w:val="0"/>
      <w:sz w:val="24"/>
    </w:rPr>
  </w:style>
  <w:style w:type="paragraph" w:customStyle="1" w:styleId="56">
    <w:name w:val="font5"/>
    <w:basedOn w:val="1"/>
    <w:autoRedefine/>
    <w:qFormat/>
    <w:uiPriority w:val="0"/>
    <w:pPr>
      <w:widowControl/>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57">
    <w:name w:val="font6"/>
    <w:basedOn w:val="1"/>
    <w:autoRedefine/>
    <w:qFormat/>
    <w:uiPriority w:val="0"/>
    <w:pPr>
      <w:widowControl/>
      <w:spacing w:before="100" w:beforeAutospacing="1" w:after="100" w:afterAutospacing="1" w:line="240" w:lineRule="auto"/>
      <w:ind w:firstLine="0" w:firstLineChars="0"/>
      <w:jc w:val="left"/>
    </w:pPr>
    <w:rPr>
      <w:rFonts w:ascii="等线" w:hAnsi="等线" w:eastAsia="等线" w:cs="宋体"/>
      <w:color w:val="000000"/>
      <w:kern w:val="0"/>
      <w:sz w:val="22"/>
      <w:szCs w:val="22"/>
    </w:rPr>
  </w:style>
  <w:style w:type="paragraph" w:customStyle="1" w:styleId="58">
    <w:name w:val="font7"/>
    <w:basedOn w:val="1"/>
    <w:autoRedefine/>
    <w:qFormat/>
    <w:uiPriority w:val="0"/>
    <w:pPr>
      <w:widowControl/>
      <w:spacing w:before="100" w:beforeAutospacing="1" w:after="100" w:afterAutospacing="1" w:line="240" w:lineRule="auto"/>
      <w:ind w:firstLine="0" w:firstLineChars="0"/>
      <w:jc w:val="left"/>
    </w:pPr>
    <w:rPr>
      <w:rFonts w:eastAsia="宋体" w:cs="Times New Roman"/>
      <w:color w:val="000000"/>
      <w:kern w:val="0"/>
      <w:sz w:val="20"/>
      <w:szCs w:val="20"/>
    </w:rPr>
  </w:style>
  <w:style w:type="paragraph" w:customStyle="1" w:styleId="59">
    <w:name w:val="font8"/>
    <w:basedOn w:val="1"/>
    <w:autoRedefine/>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20"/>
      <w:szCs w:val="20"/>
    </w:rPr>
  </w:style>
  <w:style w:type="paragraph" w:customStyle="1" w:styleId="60">
    <w:name w:val="xl6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4"/>
    </w:rPr>
  </w:style>
  <w:style w:type="paragraph" w:customStyle="1" w:styleId="61">
    <w:name w:val="xl6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宋体" w:hAnsi="宋体" w:eastAsia="宋体" w:cs="宋体"/>
      <w:kern w:val="0"/>
      <w:sz w:val="24"/>
    </w:rPr>
  </w:style>
  <w:style w:type="paragraph" w:customStyle="1" w:styleId="62">
    <w:name w:val="xl6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宋体" w:hAnsi="宋体" w:eastAsia="宋体" w:cs="宋体"/>
      <w:kern w:val="0"/>
      <w:sz w:val="20"/>
      <w:szCs w:val="20"/>
    </w:rPr>
  </w:style>
  <w:style w:type="paragraph" w:customStyle="1" w:styleId="63">
    <w:name w:val="xl6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eastAsia="宋体" w:cs="Times New Roman"/>
      <w:kern w:val="0"/>
      <w:sz w:val="20"/>
      <w:szCs w:val="20"/>
    </w:rPr>
  </w:style>
  <w:style w:type="paragraph" w:customStyle="1" w:styleId="64">
    <w:name w:val="xl6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eastAsia="宋体" w:cs="Times New Roman"/>
      <w:kern w:val="0"/>
      <w:sz w:val="24"/>
    </w:rPr>
  </w:style>
  <w:style w:type="paragraph" w:customStyle="1" w:styleId="65">
    <w:name w:val="xl6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eastAsia="宋体" w:cs="Times New Roman"/>
      <w:kern w:val="0"/>
      <w:sz w:val="20"/>
      <w:szCs w:val="20"/>
    </w:rPr>
  </w:style>
  <w:style w:type="paragraph" w:customStyle="1" w:styleId="66">
    <w:name w:val="xl6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eastAsia="宋体" w:cs="Times New Roman"/>
      <w:kern w:val="0"/>
      <w:sz w:val="20"/>
      <w:szCs w:val="20"/>
    </w:rPr>
  </w:style>
  <w:style w:type="paragraph" w:customStyle="1" w:styleId="67">
    <w:name w:val="xl7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黑体" w:hAnsi="黑体" w:eastAsia="黑体" w:cs="宋体"/>
      <w:kern w:val="0"/>
      <w:sz w:val="24"/>
    </w:rPr>
  </w:style>
  <w:style w:type="paragraph" w:customStyle="1" w:styleId="68">
    <w:name w:val="xl7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69">
    <w:name w:val="xl7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黑体" w:hAnsi="黑体" w:eastAsia="黑体" w:cs="宋体"/>
      <w:kern w:val="0"/>
      <w:sz w:val="20"/>
      <w:szCs w:val="20"/>
    </w:rPr>
  </w:style>
  <w:style w:type="character" w:customStyle="1" w:styleId="70">
    <w:name w:val="fontstyle21"/>
    <w:basedOn w:val="34"/>
    <w:autoRedefine/>
    <w:qFormat/>
    <w:uiPriority w:val="0"/>
    <w:rPr>
      <w:rFonts w:hint="eastAsia" w:ascii="仿宋" w:hAnsi="仿宋" w:eastAsia="仿宋"/>
      <w:color w:val="000000"/>
      <w:sz w:val="20"/>
      <w:szCs w:val="20"/>
    </w:rPr>
  </w:style>
  <w:style w:type="paragraph" w:customStyle="1" w:styleId="71">
    <w:name w:val="修订1"/>
    <w:autoRedefine/>
    <w:hidden/>
    <w:semiHidden/>
    <w:qFormat/>
    <w:uiPriority w:val="99"/>
    <w:rPr>
      <w:rFonts w:ascii="Times New Roman" w:hAnsi="Times New Roman" w:eastAsiaTheme="minorEastAsia" w:cstheme="minorBidi"/>
      <w:kern w:val="2"/>
      <w:sz w:val="28"/>
      <w:szCs w:val="24"/>
      <w:lang w:val="en-US" w:eastAsia="zh-CN" w:bidi="ar-SA"/>
    </w:rPr>
  </w:style>
  <w:style w:type="paragraph" w:customStyle="1" w:styleId="72">
    <w:name w:val="修订2"/>
    <w:autoRedefine/>
    <w:hidden/>
    <w:semiHidden/>
    <w:qFormat/>
    <w:uiPriority w:val="99"/>
    <w:rPr>
      <w:rFonts w:ascii="Times New Roman" w:hAnsi="Times New Roman" w:eastAsiaTheme="minorEastAsia" w:cstheme="minorBidi"/>
      <w:kern w:val="2"/>
      <w:sz w:val="28"/>
      <w:szCs w:val="24"/>
      <w:lang w:val="en-US" w:eastAsia="zh-CN" w:bidi="ar-SA"/>
    </w:rPr>
  </w:style>
  <w:style w:type="paragraph" w:customStyle="1" w:styleId="73">
    <w:name w:val="xl73"/>
    <w:basedOn w:val="1"/>
    <w:autoRedefine/>
    <w:qFormat/>
    <w:uiPriority w:val="0"/>
    <w:pPr>
      <w:widowControl/>
      <w:spacing w:before="100" w:beforeAutospacing="1" w:after="100" w:afterAutospacing="1" w:line="240" w:lineRule="auto"/>
      <w:ind w:firstLine="0" w:firstLineChars="0"/>
      <w:jc w:val="center"/>
    </w:pPr>
    <w:rPr>
      <w:rFonts w:eastAsia="宋体" w:cs="Times New Roman"/>
      <w:kern w:val="0"/>
      <w:sz w:val="20"/>
      <w:szCs w:val="20"/>
    </w:rPr>
  </w:style>
  <w:style w:type="paragraph" w:customStyle="1" w:styleId="74">
    <w:name w:val="xl74"/>
    <w:basedOn w:val="1"/>
    <w:autoRedefine/>
    <w:qFormat/>
    <w:uiPriority w:val="0"/>
    <w:pPr>
      <w:widowControl/>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75">
    <w:name w:val="xl7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宋体" w:hAnsi="宋体" w:eastAsia="宋体" w:cs="宋体"/>
      <w:kern w:val="0"/>
      <w:sz w:val="24"/>
    </w:rPr>
  </w:style>
  <w:style w:type="paragraph" w:customStyle="1" w:styleId="76">
    <w:name w:val="xl7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eastAsia="宋体" w:cs="Times New Roman"/>
      <w:kern w:val="0"/>
      <w:sz w:val="20"/>
      <w:szCs w:val="20"/>
    </w:rPr>
  </w:style>
  <w:style w:type="paragraph" w:customStyle="1" w:styleId="77">
    <w:name w:val="xl7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eastAsia="宋体" w:cs="Times New Roman"/>
      <w:kern w:val="0"/>
      <w:sz w:val="24"/>
    </w:rPr>
  </w:style>
  <w:style w:type="paragraph" w:customStyle="1" w:styleId="78">
    <w:name w:val="xl79"/>
    <w:basedOn w:val="1"/>
    <w:autoRedefine/>
    <w:qFormat/>
    <w:uiPriority w:val="0"/>
    <w:pPr>
      <w:widowControl/>
      <w:spacing w:before="100" w:beforeAutospacing="1" w:after="100" w:afterAutospacing="1" w:line="240" w:lineRule="auto"/>
      <w:ind w:firstLine="0" w:firstLineChars="0"/>
      <w:jc w:val="center"/>
    </w:pPr>
    <w:rPr>
      <w:rFonts w:eastAsia="宋体" w:cs="Times New Roman"/>
      <w:kern w:val="0"/>
      <w:sz w:val="20"/>
      <w:szCs w:val="20"/>
    </w:rPr>
  </w:style>
  <w:style w:type="paragraph" w:customStyle="1" w:styleId="79">
    <w:name w:val="xl8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eastAsia="宋体" w:cs="Times New Roman"/>
      <w:kern w:val="0"/>
      <w:sz w:val="20"/>
      <w:szCs w:val="20"/>
    </w:rPr>
  </w:style>
  <w:style w:type="paragraph" w:customStyle="1" w:styleId="80">
    <w:name w:val="TOC 标题2"/>
    <w:basedOn w:val="4"/>
    <w:next w:val="1"/>
    <w:autoRedefine/>
    <w:unhideWhenUsed/>
    <w:qFormat/>
    <w:uiPriority w:val="39"/>
    <w:pPr>
      <w:pageBreakBefore w:val="0"/>
      <w:widowControl/>
      <w:numPr>
        <w:numId w:val="0"/>
      </w:numPr>
      <w:spacing w:before="240" w:after="0" w:afterLines="0" w:line="259" w:lineRule="auto"/>
      <w:jc w:val="left"/>
      <w:outlineLvl w:val="9"/>
    </w:pPr>
    <w:rPr>
      <w:rFonts w:asciiTheme="majorHAnsi" w:hAnsiTheme="majorHAnsi" w:eastAsiaTheme="majorEastAsia" w:cstheme="majorBidi"/>
      <w:color w:val="2E75B6" w:themeColor="accent1" w:themeShade="BF"/>
      <w:kern w:val="0"/>
      <w:sz w:val="32"/>
      <w:szCs w:val="32"/>
    </w:rPr>
  </w:style>
  <w:style w:type="character" w:customStyle="1" w:styleId="81">
    <w:name w:val="批注框文本 字符"/>
    <w:basedOn w:val="34"/>
    <w:link w:val="22"/>
    <w:autoRedefine/>
    <w:qFormat/>
    <w:uiPriority w:val="0"/>
    <w:rPr>
      <w:rFonts w:eastAsia="仿宋" w:cstheme="minorBidi"/>
      <w:kern w:val="2"/>
      <w:sz w:val="18"/>
      <w:szCs w:val="18"/>
      <w:lang w:bidi="ar-SA"/>
    </w:rPr>
  </w:style>
  <w:style w:type="paragraph" w:customStyle="1" w:styleId="82">
    <w:name w:val="修订3"/>
    <w:autoRedefine/>
    <w:hidden/>
    <w:semiHidden/>
    <w:qFormat/>
    <w:uiPriority w:val="99"/>
    <w:rPr>
      <w:rFonts w:ascii="Times New Roman" w:hAnsi="Times New Roman" w:eastAsia="仿宋" w:cstheme="minorBidi"/>
      <w:kern w:val="2"/>
      <w:sz w:val="28"/>
      <w:szCs w:val="24"/>
      <w:lang w:val="en-US" w:eastAsia="zh-CN" w:bidi="ar-SA"/>
    </w:rPr>
  </w:style>
  <w:style w:type="character" w:customStyle="1" w:styleId="83">
    <w:name w:val="正文文本 字符"/>
    <w:basedOn w:val="34"/>
    <w:link w:val="16"/>
    <w:autoRedefine/>
    <w:qFormat/>
    <w:uiPriority w:val="99"/>
    <w:rPr>
      <w:rFonts w:eastAsia="仿宋" w:cstheme="minorBidi"/>
      <w:kern w:val="2"/>
      <w:sz w:val="28"/>
      <w:szCs w:val="24"/>
    </w:rPr>
  </w:style>
  <w:style w:type="paragraph" w:customStyle="1" w:styleId="84">
    <w:name w:val="xl7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85">
    <w:name w:val="修订4"/>
    <w:autoRedefine/>
    <w:hidden/>
    <w:semiHidden/>
    <w:qFormat/>
    <w:uiPriority w:val="99"/>
    <w:rPr>
      <w:rFonts w:ascii="Times New Roman" w:hAnsi="Times New Roman" w:eastAsia="仿宋" w:cstheme="minorBidi"/>
      <w:kern w:val="2"/>
      <w:sz w:val="28"/>
      <w:szCs w:val="24"/>
      <w:lang w:val="en-US" w:eastAsia="zh-CN" w:bidi="ar-SA"/>
    </w:rPr>
  </w:style>
  <w:style w:type="paragraph" w:customStyle="1" w:styleId="86">
    <w:name w:val="修订5"/>
    <w:autoRedefine/>
    <w:hidden/>
    <w:unhideWhenUsed/>
    <w:qFormat/>
    <w:uiPriority w:val="99"/>
    <w:rPr>
      <w:rFonts w:ascii="Times New Roman" w:hAnsi="Times New Roman" w:eastAsia="仿宋" w:cstheme="minorBidi"/>
      <w:kern w:val="2"/>
      <w:sz w:val="28"/>
      <w:szCs w:val="24"/>
      <w:lang w:val="en-US" w:eastAsia="zh-CN" w:bidi="ar-SA"/>
    </w:rPr>
  </w:style>
  <w:style w:type="paragraph" w:customStyle="1" w:styleId="87">
    <w:name w:val="Revision"/>
    <w:autoRedefine/>
    <w:hidden/>
    <w:semiHidden/>
    <w:qFormat/>
    <w:uiPriority w:val="99"/>
    <w:rPr>
      <w:rFonts w:ascii="Times New Roman" w:hAnsi="Times New Roman" w:eastAsia="仿宋" w:cstheme="minorBidi"/>
      <w:kern w:val="2"/>
      <w:sz w:val="28"/>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2" Type="http://schemas.openxmlformats.org/officeDocument/2006/relationships/fontTable" Target="fontTable.xml"/><Relationship Id="rId51" Type="http://schemas.openxmlformats.org/officeDocument/2006/relationships/customXml" Target="../customXml/item2.xml"/><Relationship Id="rId50" Type="http://schemas.openxmlformats.org/officeDocument/2006/relationships/numbering" Target="numbering.xml"/><Relationship Id="rId5" Type="http://schemas.openxmlformats.org/officeDocument/2006/relationships/header" Target="header1.xml"/><Relationship Id="rId49" Type="http://schemas.openxmlformats.org/officeDocument/2006/relationships/customXml" Target="../customXml/item1.xml"/><Relationship Id="rId48" Type="http://schemas.openxmlformats.org/officeDocument/2006/relationships/image" Target="media/image33.png"/><Relationship Id="rId47" Type="http://schemas.openxmlformats.org/officeDocument/2006/relationships/image" Target="media/image32.jpeg"/><Relationship Id="rId46" Type="http://schemas.openxmlformats.org/officeDocument/2006/relationships/image" Target="media/image31.jpeg"/><Relationship Id="rId45" Type="http://schemas.openxmlformats.org/officeDocument/2006/relationships/image" Target="media/image30.jpeg"/><Relationship Id="rId44" Type="http://schemas.openxmlformats.org/officeDocument/2006/relationships/image" Target="media/image29.jpeg"/><Relationship Id="rId43" Type="http://schemas.openxmlformats.org/officeDocument/2006/relationships/image" Target="media/image28.jpe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jpeg"/><Relationship Id="rId4" Type="http://schemas.openxmlformats.org/officeDocument/2006/relationships/endnotes" Target="endnotes.xml"/><Relationship Id="rId39" Type="http://schemas.openxmlformats.org/officeDocument/2006/relationships/image" Target="media/image24.jpeg"/><Relationship Id="rId38" Type="http://schemas.openxmlformats.org/officeDocument/2006/relationships/image" Target="media/image23.png"/><Relationship Id="rId37" Type="http://schemas.openxmlformats.org/officeDocument/2006/relationships/image" Target="media/image22.jpeg"/><Relationship Id="rId36" Type="http://schemas.openxmlformats.org/officeDocument/2006/relationships/image" Target="media/image21.jpeg"/><Relationship Id="rId35" Type="http://schemas.openxmlformats.org/officeDocument/2006/relationships/image" Target="media/image20.jpeg"/><Relationship Id="rId34" Type="http://schemas.openxmlformats.org/officeDocument/2006/relationships/image" Target="media/image19.jpeg"/><Relationship Id="rId33" Type="http://schemas.openxmlformats.org/officeDocument/2006/relationships/image" Target="media/image18.jpeg"/><Relationship Id="rId32" Type="http://schemas.openxmlformats.org/officeDocument/2006/relationships/image" Target="media/image17.jpeg"/><Relationship Id="rId31" Type="http://schemas.openxmlformats.org/officeDocument/2006/relationships/image" Target="media/image16.jpeg"/><Relationship Id="rId30" Type="http://schemas.openxmlformats.org/officeDocument/2006/relationships/image" Target="media/image15.jpeg"/><Relationship Id="rId3" Type="http://schemas.openxmlformats.org/officeDocument/2006/relationships/footnotes" Target="footnotes.xml"/><Relationship Id="rId29" Type="http://schemas.openxmlformats.org/officeDocument/2006/relationships/image" Target="media/image14.jpe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jpeg"/><Relationship Id="rId25" Type="http://schemas.openxmlformats.org/officeDocument/2006/relationships/image" Target="media/image10.jpeg"/><Relationship Id="rId24" Type="http://schemas.openxmlformats.org/officeDocument/2006/relationships/image" Target="media/image9.jpeg"/><Relationship Id="rId23" Type="http://schemas.openxmlformats.org/officeDocument/2006/relationships/image" Target="media/image8.jpeg"/><Relationship Id="rId22" Type="http://schemas.openxmlformats.org/officeDocument/2006/relationships/image" Target="media/image7.jpeg"/><Relationship Id="rId21" Type="http://schemas.openxmlformats.org/officeDocument/2006/relationships/image" Target="media/image6.jpeg"/><Relationship Id="rId20" Type="http://schemas.openxmlformats.org/officeDocument/2006/relationships/image" Target="media/image5.jpeg"/><Relationship Id="rId2" Type="http://schemas.openxmlformats.org/officeDocument/2006/relationships/settings" Target="settings.xml"/><Relationship Id="rId19" Type="http://schemas.openxmlformats.org/officeDocument/2006/relationships/image" Target="media/image4.jpeg"/><Relationship Id="rId18" Type="http://schemas.openxmlformats.org/officeDocument/2006/relationships/image" Target="media/image3.jpeg"/><Relationship Id="rId17" Type="http://schemas.openxmlformats.org/officeDocument/2006/relationships/image" Target="media/image2.jpeg"/><Relationship Id="rId16" Type="http://schemas.openxmlformats.org/officeDocument/2006/relationships/image" Target="media/image1.png"/><Relationship Id="rId15" Type="http://schemas.openxmlformats.org/officeDocument/2006/relationships/theme" Target="theme/theme1.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0F47993-C3B4-496C-BB17-60039BB696C9}">
  <ds:schemaRefs/>
</ds:datastoreItem>
</file>

<file path=docProps/app.xml><?xml version="1.0" encoding="utf-8"?>
<Properties xmlns="http://schemas.openxmlformats.org/officeDocument/2006/extended-properties" xmlns:vt="http://schemas.openxmlformats.org/officeDocument/2006/docPropsVTypes">
  <Template>Normal.dotm</Template>
  <Pages>213</Pages>
  <Words>95660</Words>
  <Characters>18177</Characters>
  <Lines>151</Lines>
  <Paragraphs>227</Paragraphs>
  <TotalTime>0</TotalTime>
  <ScaleCrop>false</ScaleCrop>
  <LinksUpToDate>false</LinksUpToDate>
  <CharactersWithSpaces>113610</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2023-10-06T13:19:00Z</dcterms:created>
  <dc:creator>鈺。</dc:creator>
  <cp:lastModifiedBy>西风凉</cp:lastModifiedBy>
  <cp:lastPrinted>2022-09-14T13:58:00Z</cp:lastPrinted>
  <dcterms:modified xsi:type="dcterms:W3CDTF">2024-04-16T02:22:19Z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FF7D903DB8B54EDA8632B75E2B6B2B63</vt:lpwstr>
  </property>
</Properties>
</file>